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C952">
      <w:pPr>
        <w:keepNext/>
        <w:keepLines/>
        <w:widowControl w:val="0"/>
        <w:spacing w:before="120" w:after="120" w:line="576" w:lineRule="auto"/>
        <w:jc w:val="center"/>
        <w:outlineLvl w:val="0"/>
        <w:rPr>
          <w:rFonts w:ascii="Calibri" w:hAnsi="Calibri" w:eastAsia="宋体" w:cs="Times New Roman"/>
          <w:b/>
          <w:bCs/>
          <w:kern w:val="44"/>
          <w:sz w:val="44"/>
          <w:szCs w:val="44"/>
          <w:lang w:val="en-US" w:eastAsia="zh-CN" w:bidi="ar-SA"/>
        </w:rPr>
      </w:pPr>
      <w:bookmarkStart w:id="0" w:name="_Toc178338855"/>
      <w:bookmarkStart w:id="1" w:name="_Toc256000015"/>
      <w:r>
        <w:rPr>
          <w:rFonts w:hint="eastAsia" w:ascii="Calibri" w:hAnsi="Calibri" w:eastAsia="宋体" w:cs="Times New Roman"/>
          <w:b/>
          <w:bCs/>
          <w:kern w:val="44"/>
          <w:sz w:val="44"/>
          <w:szCs w:val="44"/>
          <w:highlight w:val="white"/>
          <w:lang w:val="en-US" w:eastAsia="zh-CN" w:bidi="ar-SA"/>
        </w:rPr>
        <w:t>第五章  采购内容与要求</w:t>
      </w:r>
      <w:bookmarkEnd w:id="0"/>
      <w:bookmarkEnd w:id="1"/>
    </w:p>
    <w:p w14:paraId="0F5F4B47">
      <w:pPr>
        <w:rPr>
          <w:rFonts w:eastAsia="宋体" w:cs="Times New Roman"/>
          <w:highlight w:val="red"/>
        </w:rPr>
      </w:pPr>
    </w:p>
    <w:p w14:paraId="7CEDF952">
      <w:pPr>
        <w:keepNext/>
        <w:keepLines/>
        <w:widowControl w:val="0"/>
        <w:adjustRightInd w:val="0"/>
        <w:snapToGrid w:val="0"/>
        <w:spacing w:before="120" w:beforeLines="50" w:line="360" w:lineRule="auto"/>
        <w:jc w:val="center"/>
        <w:outlineLvl w:val="1"/>
        <w:rPr>
          <w:rStyle w:val="13"/>
          <w:rFonts w:hint="eastAsia" w:ascii="黑体" w:hAnsi="黑体" w:eastAsia="黑体" w:cs="Times New Roman"/>
          <w:b/>
          <w:bCs/>
          <w:kern w:val="2"/>
          <w:sz w:val="28"/>
          <w:szCs w:val="28"/>
          <w:highlight w:val="none"/>
          <w:lang w:val="en-US" w:eastAsia="zh-CN" w:bidi="ar-SA"/>
        </w:rPr>
      </w:pPr>
      <w:bookmarkStart w:id="2" w:name="_Toc256000016"/>
      <w:bookmarkStart w:id="3" w:name="_Toc16421"/>
      <w:bookmarkStart w:id="4" w:name="_Toc75437444"/>
      <w:r>
        <w:rPr>
          <w:rStyle w:val="13"/>
          <w:rFonts w:hint="eastAsia" w:ascii="黑体" w:hAnsi="黑体" w:eastAsia="黑体" w:cs="Times New Roman"/>
          <w:b/>
          <w:bCs/>
          <w:kern w:val="2"/>
          <w:sz w:val="28"/>
          <w:szCs w:val="28"/>
          <w:highlight w:val="none"/>
          <w:lang w:val="en-US" w:eastAsia="zh-CN" w:bidi="ar-SA"/>
        </w:rPr>
        <w:t>第一节 采购清单一览表</w:t>
      </w:r>
      <w:bookmarkEnd w:id="2"/>
      <w:bookmarkEnd w:id="3"/>
      <w:bookmarkEnd w:id="4"/>
    </w:p>
    <w:tbl>
      <w:tblPr>
        <w:tblStyle w:val="12"/>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050"/>
        <w:gridCol w:w="1080"/>
        <w:gridCol w:w="1669"/>
        <w:gridCol w:w="1150"/>
        <w:gridCol w:w="1121"/>
        <w:gridCol w:w="1327"/>
        <w:gridCol w:w="992"/>
      </w:tblGrid>
      <w:tr w14:paraId="473B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767" w:type="dxa"/>
            <w:vMerge w:val="restart"/>
            <w:noWrap w:val="0"/>
            <w:vAlign w:val="center"/>
          </w:tcPr>
          <w:p w14:paraId="5AEAAD5E">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包号</w:t>
            </w:r>
            <w:r>
              <w:rPr>
                <w:rStyle w:val="13"/>
                <w:rFonts w:ascii="Calibri" w:hAnsi="Calibri" w:eastAsia="宋体" w:cs="Times New Roman"/>
                <w:kern w:val="2"/>
                <w:sz w:val="21"/>
                <w:szCs w:val="21"/>
                <w:lang w:val="en-US" w:eastAsia="zh-CN" w:bidi="ar-SA"/>
              </w:rPr>
              <w:t xml:space="preserve"> </w:t>
            </w:r>
          </w:p>
        </w:tc>
        <w:tc>
          <w:tcPr>
            <w:tcW w:w="1050" w:type="dxa"/>
            <w:vMerge w:val="restart"/>
            <w:noWrap w:val="0"/>
            <w:vAlign w:val="center"/>
          </w:tcPr>
          <w:p w14:paraId="44F6A925">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包名称</w:t>
            </w:r>
          </w:p>
        </w:tc>
        <w:tc>
          <w:tcPr>
            <w:tcW w:w="1080" w:type="dxa"/>
            <w:vMerge w:val="restart"/>
            <w:noWrap w:val="0"/>
            <w:vAlign w:val="center"/>
          </w:tcPr>
          <w:p w14:paraId="45720D16">
            <w:pPr>
              <w:widowControl w:val="0"/>
              <w:adjustRightInd w:val="0"/>
              <w:snapToGrid w:val="0"/>
              <w:spacing w:line="360" w:lineRule="auto"/>
              <w:jc w:val="center"/>
              <w:rPr>
                <w:rStyle w:val="13"/>
                <w:rFonts w:hint="default"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品目</w:t>
            </w:r>
          </w:p>
        </w:tc>
        <w:tc>
          <w:tcPr>
            <w:tcW w:w="1669" w:type="dxa"/>
            <w:vMerge w:val="restart"/>
            <w:noWrap w:val="0"/>
            <w:vAlign w:val="center"/>
          </w:tcPr>
          <w:p w14:paraId="4B45440E">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分项项目名称</w:t>
            </w:r>
          </w:p>
          <w:p w14:paraId="6CF68C06">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Times New Roman" w:hAnsi="Times New Roman" w:eastAsia="宋体" w:cs="Times New Roman"/>
                <w:kern w:val="2"/>
                <w:sz w:val="21"/>
                <w:szCs w:val="21"/>
                <w:highlight w:val="none"/>
                <w:lang w:val="en-US" w:eastAsia="zh-CN" w:bidi="ar-SA"/>
              </w:rPr>
              <w:t>（服务名称）</w:t>
            </w:r>
          </w:p>
        </w:tc>
        <w:tc>
          <w:tcPr>
            <w:tcW w:w="1150" w:type="dxa"/>
            <w:vMerge w:val="restart"/>
            <w:noWrap w:val="0"/>
            <w:vAlign w:val="center"/>
          </w:tcPr>
          <w:p w14:paraId="6AC1616A">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数量</w:t>
            </w:r>
          </w:p>
        </w:tc>
        <w:tc>
          <w:tcPr>
            <w:tcW w:w="2448" w:type="dxa"/>
            <w:gridSpan w:val="2"/>
            <w:noWrap w:val="0"/>
            <w:vAlign w:val="center"/>
          </w:tcPr>
          <w:p w14:paraId="071BB467">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服务要求</w:t>
            </w:r>
          </w:p>
        </w:tc>
        <w:tc>
          <w:tcPr>
            <w:tcW w:w="992" w:type="dxa"/>
            <w:vMerge w:val="restart"/>
            <w:noWrap w:val="0"/>
            <w:vAlign w:val="center"/>
          </w:tcPr>
          <w:p w14:paraId="749B9971">
            <w:pPr>
              <w:widowControl w:val="0"/>
              <w:adjustRightInd w:val="0"/>
              <w:snapToGrid w:val="0"/>
              <w:spacing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备注</w:t>
            </w:r>
          </w:p>
        </w:tc>
      </w:tr>
      <w:tr w14:paraId="53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67" w:type="dxa"/>
            <w:vMerge w:val="continue"/>
            <w:noWrap w:val="0"/>
            <w:vAlign w:val="center"/>
          </w:tcPr>
          <w:p w14:paraId="43A6D27D">
            <w:pPr>
              <w:widowControl/>
              <w:jc w:val="left"/>
              <w:rPr>
                <w:rStyle w:val="13"/>
                <w:rFonts w:ascii="Calibri" w:hAnsi="Calibri" w:eastAsia="宋体" w:cs="Times New Roman"/>
                <w:kern w:val="2"/>
                <w:sz w:val="21"/>
                <w:szCs w:val="21"/>
                <w:lang w:val="en-US" w:eastAsia="zh-CN" w:bidi="ar-SA"/>
              </w:rPr>
            </w:pPr>
          </w:p>
        </w:tc>
        <w:tc>
          <w:tcPr>
            <w:tcW w:w="1050" w:type="dxa"/>
            <w:vMerge w:val="continue"/>
            <w:noWrap w:val="0"/>
            <w:vAlign w:val="center"/>
          </w:tcPr>
          <w:p w14:paraId="1BCF820B">
            <w:pPr>
              <w:widowControl/>
              <w:jc w:val="left"/>
              <w:rPr>
                <w:rStyle w:val="13"/>
                <w:rFonts w:ascii="Calibri" w:hAnsi="Calibri" w:eastAsia="宋体" w:cs="Times New Roman"/>
                <w:kern w:val="2"/>
                <w:sz w:val="21"/>
                <w:szCs w:val="21"/>
                <w:lang w:val="en-US" w:eastAsia="zh-CN" w:bidi="ar-SA"/>
              </w:rPr>
            </w:pPr>
          </w:p>
        </w:tc>
        <w:tc>
          <w:tcPr>
            <w:tcW w:w="1080" w:type="dxa"/>
            <w:vMerge w:val="continue"/>
            <w:noWrap w:val="0"/>
            <w:vAlign w:val="center"/>
          </w:tcPr>
          <w:p w14:paraId="5F893532">
            <w:pPr>
              <w:widowControl/>
              <w:jc w:val="left"/>
              <w:rPr>
                <w:rStyle w:val="13"/>
                <w:rFonts w:ascii="Calibri" w:hAnsi="Calibri" w:eastAsia="宋体" w:cs="Times New Roman"/>
                <w:kern w:val="2"/>
                <w:sz w:val="21"/>
                <w:szCs w:val="21"/>
                <w:lang w:val="en-US" w:eastAsia="zh-CN" w:bidi="ar-SA"/>
              </w:rPr>
            </w:pPr>
          </w:p>
        </w:tc>
        <w:tc>
          <w:tcPr>
            <w:tcW w:w="1669" w:type="dxa"/>
            <w:vMerge w:val="continue"/>
            <w:noWrap w:val="0"/>
            <w:vAlign w:val="center"/>
          </w:tcPr>
          <w:p w14:paraId="2AC5351F">
            <w:pPr>
              <w:widowControl/>
              <w:jc w:val="left"/>
              <w:rPr>
                <w:rStyle w:val="13"/>
                <w:rFonts w:ascii="Calibri" w:hAnsi="Calibri" w:eastAsia="宋体" w:cs="Times New Roman"/>
                <w:kern w:val="2"/>
                <w:sz w:val="21"/>
                <w:szCs w:val="21"/>
                <w:lang w:val="en-US" w:eastAsia="zh-CN" w:bidi="ar-SA"/>
              </w:rPr>
            </w:pPr>
          </w:p>
        </w:tc>
        <w:tc>
          <w:tcPr>
            <w:tcW w:w="1150" w:type="dxa"/>
            <w:vMerge w:val="continue"/>
            <w:noWrap w:val="0"/>
            <w:vAlign w:val="center"/>
          </w:tcPr>
          <w:p w14:paraId="52702E3F">
            <w:pPr>
              <w:widowControl/>
              <w:jc w:val="left"/>
              <w:rPr>
                <w:rStyle w:val="13"/>
                <w:rFonts w:ascii="Calibri" w:hAnsi="Calibri" w:eastAsia="宋体" w:cs="Times New Roman"/>
                <w:kern w:val="2"/>
                <w:sz w:val="21"/>
                <w:szCs w:val="21"/>
                <w:lang w:val="en-US" w:eastAsia="zh-CN" w:bidi="ar-SA"/>
              </w:rPr>
            </w:pPr>
          </w:p>
        </w:tc>
        <w:tc>
          <w:tcPr>
            <w:tcW w:w="1121" w:type="dxa"/>
            <w:noWrap w:val="0"/>
            <w:vAlign w:val="center"/>
          </w:tcPr>
          <w:p w14:paraId="7EE46F32">
            <w:pPr>
              <w:widowControl w:val="0"/>
              <w:adjustRightInd w:val="0"/>
              <w:snapToGrid w:val="0"/>
              <w:spacing w:before="120" w:beforeLines="50"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时间</w:t>
            </w:r>
          </w:p>
        </w:tc>
        <w:tc>
          <w:tcPr>
            <w:tcW w:w="1327" w:type="dxa"/>
            <w:noWrap w:val="0"/>
            <w:vAlign w:val="center"/>
          </w:tcPr>
          <w:p w14:paraId="2FE4B2BF">
            <w:pPr>
              <w:widowControl w:val="0"/>
              <w:adjustRightInd w:val="0"/>
              <w:snapToGrid w:val="0"/>
              <w:spacing w:before="120" w:beforeLines="50"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地点</w:t>
            </w:r>
          </w:p>
        </w:tc>
        <w:tc>
          <w:tcPr>
            <w:tcW w:w="992" w:type="dxa"/>
            <w:vMerge w:val="continue"/>
            <w:noWrap w:val="0"/>
            <w:vAlign w:val="center"/>
          </w:tcPr>
          <w:p w14:paraId="499090B1">
            <w:pPr>
              <w:widowControl/>
              <w:jc w:val="left"/>
              <w:rPr>
                <w:rStyle w:val="13"/>
                <w:rFonts w:ascii="Calibri" w:hAnsi="Calibri" w:eastAsia="宋体" w:cs="Times New Roman"/>
                <w:kern w:val="2"/>
                <w:sz w:val="21"/>
                <w:szCs w:val="21"/>
                <w:lang w:val="en-US" w:eastAsia="zh-CN" w:bidi="ar-SA"/>
              </w:rPr>
            </w:pPr>
          </w:p>
        </w:tc>
      </w:tr>
      <w:tr w14:paraId="1B7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767" w:type="dxa"/>
            <w:noWrap w:val="0"/>
            <w:vAlign w:val="center"/>
          </w:tcPr>
          <w:p w14:paraId="64B47BC8">
            <w:pPr>
              <w:widowControl w:val="0"/>
              <w:adjustRightInd w:val="0"/>
              <w:snapToGrid w:val="0"/>
              <w:spacing w:before="120" w:beforeLines="50" w:line="360" w:lineRule="auto"/>
              <w:jc w:val="center"/>
              <w:rPr>
                <w:rStyle w:val="13"/>
                <w:rFonts w:hint="eastAsia"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1</w:t>
            </w:r>
          </w:p>
        </w:tc>
        <w:tc>
          <w:tcPr>
            <w:tcW w:w="1050" w:type="dxa"/>
            <w:noWrap w:val="0"/>
            <w:vAlign w:val="center"/>
          </w:tcPr>
          <w:p w14:paraId="2F8134C2">
            <w:pPr>
              <w:widowControl w:val="0"/>
              <w:adjustRightInd w:val="0"/>
              <w:snapToGrid w:val="0"/>
              <w:spacing w:before="120" w:beforeLines="50" w:line="360" w:lineRule="auto"/>
              <w:jc w:val="center"/>
              <w:rPr>
                <w:rStyle w:val="13"/>
                <w:rFonts w:ascii="Calibri" w:hAnsi="Calibri" w:eastAsia="宋体" w:cs="Times New Roman"/>
                <w:kern w:val="2"/>
                <w:sz w:val="21"/>
                <w:szCs w:val="21"/>
                <w:highlight w:val="none"/>
                <w:lang w:val="en-US" w:eastAsia="zh-CN" w:bidi="ar-SA"/>
              </w:rPr>
            </w:pPr>
            <w:r>
              <w:rPr>
                <w:rStyle w:val="13"/>
                <w:rFonts w:hint="eastAsia" w:ascii="Times New Roman" w:hAnsi="Times New Roman" w:eastAsia="宋体" w:cs="Times New Roman"/>
                <w:kern w:val="2"/>
                <w:sz w:val="21"/>
                <w:szCs w:val="21"/>
                <w:highlight w:val="none"/>
                <w:lang w:val="en-US" w:eastAsia="zh-CN" w:bidi="ar-SA"/>
              </w:rPr>
              <w:t>包1</w:t>
            </w:r>
          </w:p>
        </w:tc>
        <w:tc>
          <w:tcPr>
            <w:tcW w:w="1080" w:type="dxa"/>
            <w:noWrap w:val="0"/>
            <w:vAlign w:val="center"/>
          </w:tcPr>
          <w:p w14:paraId="4B844153">
            <w:pPr>
              <w:widowControl w:val="0"/>
              <w:adjustRightInd w:val="0"/>
              <w:snapToGrid w:val="0"/>
              <w:spacing w:before="120" w:beforeLines="50" w:line="360" w:lineRule="auto"/>
              <w:jc w:val="both"/>
              <w:rPr>
                <w:rStyle w:val="13"/>
                <w:rFonts w:hint="eastAsia" w:ascii="Calibri" w:hAnsi="Calibri" w:eastAsia="宋体" w:cs="Times New Roman"/>
                <w:kern w:val="2"/>
                <w:sz w:val="21"/>
                <w:szCs w:val="21"/>
                <w:highlight w:val="none"/>
                <w:lang w:val="en-US" w:eastAsia="zh-CN" w:bidi="ar-SA"/>
              </w:rPr>
            </w:pPr>
            <w:r>
              <w:rPr>
                <w:rStyle w:val="13"/>
                <w:rFonts w:hint="eastAsia" w:ascii="Times New Roman" w:hAnsi="Times New Roman" w:eastAsia="宋体" w:cs="Times New Roman"/>
                <w:kern w:val="2"/>
                <w:sz w:val="21"/>
                <w:szCs w:val="21"/>
                <w:highlight w:val="none"/>
                <w:lang w:val="en-US" w:eastAsia="zh-CN" w:bidi="ar-SA"/>
              </w:rPr>
              <w:t>C23120500-医疗设备维修和保养服务</w:t>
            </w:r>
          </w:p>
        </w:tc>
        <w:tc>
          <w:tcPr>
            <w:tcW w:w="1669" w:type="dxa"/>
            <w:noWrap w:val="0"/>
            <w:vAlign w:val="center"/>
          </w:tcPr>
          <w:p w14:paraId="7088C255">
            <w:pPr>
              <w:widowControl w:val="0"/>
              <w:adjustRightInd w:val="0"/>
              <w:snapToGrid w:val="0"/>
              <w:spacing w:before="120" w:beforeLines="50" w:line="360" w:lineRule="auto"/>
              <w:jc w:val="both"/>
              <w:rPr>
                <w:rStyle w:val="13"/>
                <w:rFonts w:hint="default" w:ascii="Calibri" w:hAnsi="Calibri" w:eastAsia="宋体" w:cs="Times New Roman"/>
                <w:kern w:val="2"/>
                <w:sz w:val="21"/>
                <w:szCs w:val="21"/>
                <w:highlight w:val="none"/>
                <w:lang w:val="en-US" w:eastAsia="zh-CN" w:bidi="ar-SA"/>
              </w:rPr>
            </w:pPr>
            <w:r>
              <w:rPr>
                <w:rStyle w:val="13"/>
                <w:rFonts w:hint="eastAsia" w:ascii="Calibri" w:hAnsi="Calibri" w:eastAsia="宋体" w:cs="Times New Roman"/>
                <w:strike w:val="0"/>
                <w:dstrike w:val="0"/>
                <w:kern w:val="2"/>
                <w:sz w:val="21"/>
                <w:szCs w:val="21"/>
                <w:highlight w:val="none"/>
                <w:lang w:val="en-US" w:eastAsia="zh-CN" w:bidi="ar-SA"/>
              </w:rPr>
              <w:t>GE</w:t>
            </w:r>
            <w:r>
              <w:rPr>
                <w:rStyle w:val="13"/>
                <w:rFonts w:hint="eastAsia" w:ascii="Calibri" w:hAnsi="Calibri" w:eastAsia="宋体" w:cs="Times New Roman"/>
                <w:kern w:val="2"/>
                <w:sz w:val="21"/>
                <w:szCs w:val="21"/>
                <w:highlight w:val="none"/>
                <w:lang w:val="en-US" w:eastAsia="zh-CN" w:bidi="ar-SA"/>
              </w:rPr>
              <w:t xml:space="preserve"> REVOLUTION </w:t>
            </w:r>
            <w:r>
              <w:rPr>
                <w:rStyle w:val="13"/>
                <w:rFonts w:hint="eastAsia" w:ascii="Calibri" w:hAnsi="Calibri" w:eastAsia="宋体" w:cs="Times New Roman"/>
                <w:strike w:val="0"/>
                <w:dstrike w:val="0"/>
                <w:kern w:val="2"/>
                <w:sz w:val="21"/>
                <w:szCs w:val="21"/>
                <w:highlight w:val="none"/>
                <w:lang w:val="en-US" w:eastAsia="zh-CN" w:bidi="ar-SA"/>
              </w:rPr>
              <w:t xml:space="preserve"> Frontier CT</w:t>
            </w:r>
            <w:r>
              <w:rPr>
                <w:rStyle w:val="13"/>
                <w:rFonts w:hint="eastAsia" w:ascii="Calibri" w:hAnsi="Calibri" w:eastAsia="宋体" w:cs="Times New Roman"/>
                <w:kern w:val="2"/>
                <w:sz w:val="21"/>
                <w:szCs w:val="21"/>
                <w:highlight w:val="none"/>
                <w:lang w:val="en-US" w:eastAsia="zh-CN" w:bidi="ar-SA"/>
              </w:rPr>
              <w:t>维保服务</w:t>
            </w:r>
          </w:p>
        </w:tc>
        <w:tc>
          <w:tcPr>
            <w:tcW w:w="1150" w:type="dxa"/>
            <w:noWrap w:val="0"/>
            <w:vAlign w:val="center"/>
          </w:tcPr>
          <w:p w14:paraId="4904E7D3">
            <w:pPr>
              <w:widowControl w:val="0"/>
              <w:adjustRightInd w:val="0"/>
              <w:snapToGrid w:val="0"/>
              <w:spacing w:before="120" w:beforeLines="50" w:line="360" w:lineRule="auto"/>
              <w:jc w:val="center"/>
              <w:rPr>
                <w:rStyle w:val="13"/>
                <w:rFonts w:hint="eastAsia" w:ascii="Calibri" w:hAnsi="Calibri" w:eastAsia="宋体" w:cs="Times New Roman"/>
                <w:kern w:val="2"/>
                <w:sz w:val="21"/>
                <w:szCs w:val="21"/>
                <w:highlight w:val="none"/>
                <w:lang w:val="en-US" w:eastAsia="zh-CN" w:bidi="ar-SA"/>
              </w:rPr>
            </w:pPr>
            <w:r>
              <w:rPr>
                <w:rStyle w:val="13"/>
                <w:rFonts w:hint="eastAsia" w:ascii="Calibri" w:hAnsi="Calibri" w:eastAsia="宋体" w:cs="Times New Roman"/>
                <w:kern w:val="2"/>
                <w:sz w:val="21"/>
                <w:szCs w:val="21"/>
                <w:highlight w:val="none"/>
                <w:lang w:val="en-US" w:eastAsia="zh-CN" w:bidi="ar-SA"/>
              </w:rPr>
              <w:t>3年</w:t>
            </w:r>
          </w:p>
        </w:tc>
        <w:tc>
          <w:tcPr>
            <w:tcW w:w="1121" w:type="dxa"/>
            <w:noWrap w:val="0"/>
            <w:vAlign w:val="top"/>
          </w:tcPr>
          <w:p w14:paraId="47AC90B9">
            <w:pPr>
              <w:widowControl w:val="0"/>
              <w:adjustRightInd w:val="0"/>
              <w:snapToGrid w:val="0"/>
              <w:spacing w:before="120" w:beforeLines="50" w:line="360" w:lineRule="auto"/>
              <w:jc w:val="center"/>
              <w:rPr>
                <w:rStyle w:val="13"/>
                <w:rFonts w:hint="default" w:ascii="Calibri" w:hAnsi="Calibri" w:eastAsia="宋体" w:cs="Times New Roman"/>
                <w:kern w:val="2"/>
                <w:sz w:val="21"/>
                <w:szCs w:val="21"/>
                <w:highlight w:val="none"/>
                <w:lang w:val="en-US" w:eastAsia="zh-CN" w:bidi="ar-SA"/>
              </w:rPr>
            </w:pPr>
            <w:r>
              <w:rPr>
                <w:rStyle w:val="13"/>
                <w:rFonts w:hint="eastAsia" w:ascii="宋体" w:hAnsi="宋体" w:eastAsia="宋体" w:cs="仿宋"/>
                <w:kern w:val="0"/>
                <w:sz w:val="21"/>
                <w:szCs w:val="21"/>
                <w:highlight w:val="none"/>
                <w:lang w:val="en-US" w:eastAsia="zh-CN" w:bidi="ar-SA"/>
              </w:rPr>
              <w:t>详见</w:t>
            </w:r>
            <w:r>
              <w:rPr>
                <w:rStyle w:val="13"/>
                <w:rFonts w:hint="eastAsia" w:ascii="宋体" w:hAnsi="宋体" w:eastAsia="宋体" w:cs="宋体"/>
                <w:kern w:val="2"/>
                <w:sz w:val="21"/>
                <w:szCs w:val="21"/>
                <w:highlight w:val="none"/>
                <w:lang w:val="en-US" w:eastAsia="zh-CN" w:bidi="ar-SA"/>
              </w:rPr>
              <w:t>本章技术要求、商务要求</w:t>
            </w:r>
          </w:p>
        </w:tc>
        <w:tc>
          <w:tcPr>
            <w:tcW w:w="1327" w:type="dxa"/>
            <w:noWrap w:val="0"/>
            <w:vAlign w:val="top"/>
          </w:tcPr>
          <w:p w14:paraId="54CDE8AB">
            <w:pPr>
              <w:widowControl w:val="0"/>
              <w:adjustRightInd w:val="0"/>
              <w:snapToGrid w:val="0"/>
              <w:spacing w:before="120" w:beforeLines="50" w:line="360" w:lineRule="auto"/>
              <w:jc w:val="center"/>
              <w:rPr>
                <w:rStyle w:val="13"/>
                <w:rFonts w:ascii="Calibri" w:hAnsi="Calibri" w:eastAsia="宋体" w:cs="Times New Roman"/>
                <w:kern w:val="2"/>
                <w:sz w:val="21"/>
                <w:szCs w:val="21"/>
                <w:lang w:val="en-US" w:eastAsia="zh-CN" w:bidi="ar-SA"/>
              </w:rPr>
            </w:pPr>
            <w:r>
              <w:rPr>
                <w:rStyle w:val="13"/>
                <w:rFonts w:hint="eastAsia" w:ascii="宋体" w:hAnsi="宋体" w:eastAsia="宋体" w:cs="仿宋"/>
                <w:kern w:val="0"/>
                <w:sz w:val="21"/>
                <w:szCs w:val="21"/>
                <w:lang w:val="en-US" w:eastAsia="zh-CN" w:bidi="ar-SA"/>
              </w:rPr>
              <w:t>详见</w:t>
            </w:r>
            <w:r>
              <w:rPr>
                <w:rStyle w:val="13"/>
                <w:rFonts w:hint="eastAsia" w:ascii="宋体" w:hAnsi="宋体" w:eastAsia="宋体" w:cs="宋体"/>
                <w:kern w:val="2"/>
                <w:sz w:val="21"/>
                <w:szCs w:val="21"/>
                <w:lang w:val="en-US" w:eastAsia="zh-CN" w:bidi="ar-SA"/>
              </w:rPr>
              <w:t>本章技术要求、商务要求</w:t>
            </w:r>
          </w:p>
        </w:tc>
        <w:tc>
          <w:tcPr>
            <w:tcW w:w="992" w:type="dxa"/>
            <w:noWrap w:val="0"/>
            <w:vAlign w:val="center"/>
          </w:tcPr>
          <w:p w14:paraId="7CF8F517">
            <w:pPr>
              <w:widowControl w:val="0"/>
              <w:adjustRightInd w:val="0"/>
              <w:snapToGrid w:val="0"/>
              <w:spacing w:before="120" w:beforeLines="50" w:line="360" w:lineRule="auto"/>
              <w:jc w:val="center"/>
              <w:rPr>
                <w:rStyle w:val="13"/>
                <w:rFonts w:ascii="Calibri" w:hAnsi="Calibri" w:eastAsia="宋体" w:cs="Times New Roman"/>
                <w:kern w:val="2"/>
                <w:sz w:val="21"/>
                <w:szCs w:val="21"/>
                <w:lang w:val="en-US" w:eastAsia="zh-CN" w:bidi="ar-SA"/>
              </w:rPr>
            </w:pPr>
            <w:r>
              <w:rPr>
                <w:rStyle w:val="13"/>
                <w:rFonts w:hint="eastAsia" w:ascii="Calibri" w:hAnsi="Calibri" w:eastAsia="宋体" w:cs="Times New Roman"/>
                <w:kern w:val="2"/>
                <w:sz w:val="21"/>
                <w:szCs w:val="21"/>
                <w:lang w:val="en-US" w:eastAsia="zh-CN" w:bidi="ar-SA"/>
              </w:rPr>
              <w:t>/</w:t>
            </w:r>
          </w:p>
        </w:tc>
      </w:tr>
    </w:tbl>
    <w:p w14:paraId="095EDBB6">
      <w:pPr>
        <w:widowControl w:val="0"/>
        <w:adjustRightInd w:val="0"/>
        <w:snapToGrid w:val="0"/>
        <w:spacing w:before="120" w:beforeLines="50" w:line="360" w:lineRule="auto"/>
        <w:ind w:firstLine="420" w:firstLineChars="200"/>
        <w:jc w:val="both"/>
        <w:rPr>
          <w:rStyle w:val="13"/>
          <w:rFonts w:hint="eastAsia" w:ascii="宋体" w:hAnsi="宋体" w:eastAsia="宋体" w:cs="Times New Roman"/>
          <w:kern w:val="2"/>
          <w:sz w:val="21"/>
          <w:szCs w:val="21"/>
          <w:highlight w:val="none"/>
          <w:lang w:val="en-US" w:eastAsia="zh-CN" w:bidi="ar-SA"/>
        </w:rPr>
      </w:pPr>
      <w:r>
        <w:rPr>
          <w:rStyle w:val="13"/>
          <w:rFonts w:hint="eastAsia" w:ascii="宋体" w:hAnsi="宋体" w:eastAsia="宋体" w:cs="Times New Roman"/>
          <w:kern w:val="2"/>
          <w:sz w:val="21"/>
          <w:szCs w:val="21"/>
          <w:highlight w:val="none"/>
          <w:lang w:val="en-US" w:eastAsia="zh-CN" w:bidi="ar-SA"/>
        </w:rPr>
        <w:t>注：1、“包”为最小合同单位（最小投标单位）。每“包”内容应细化到“品目”（如果分品目的）。</w:t>
      </w:r>
    </w:p>
    <w:p w14:paraId="749588B3">
      <w:pPr>
        <w:widowControl w:val="0"/>
        <w:adjustRightInd w:val="0"/>
        <w:snapToGrid w:val="0"/>
        <w:spacing w:before="120" w:beforeLines="50" w:line="360" w:lineRule="auto"/>
        <w:ind w:firstLine="420" w:firstLineChars="200"/>
        <w:jc w:val="both"/>
        <w:rPr>
          <w:rStyle w:val="13"/>
          <w:rFonts w:hint="eastAsia" w:ascii="宋体" w:hAnsi="宋体" w:eastAsia="宋体" w:cs="Times New Roman"/>
          <w:kern w:val="2"/>
          <w:sz w:val="21"/>
          <w:szCs w:val="21"/>
          <w:highlight w:val="none"/>
          <w:lang w:val="en-US" w:eastAsia="zh-CN" w:bidi="ar-SA"/>
        </w:rPr>
      </w:pPr>
      <w:r>
        <w:rPr>
          <w:rStyle w:val="13"/>
          <w:rFonts w:hint="eastAsia" w:ascii="宋体" w:hAnsi="宋体" w:eastAsia="宋体" w:cs="Times New Roman"/>
          <w:kern w:val="2"/>
          <w:sz w:val="21"/>
          <w:szCs w:val="21"/>
          <w:highlight w:val="none"/>
          <w:lang w:val="en-US" w:eastAsia="zh-CN" w:bidi="ar-SA"/>
        </w:rPr>
        <w:t>2、投标人必须对一个完整、独立的包进行投标，不得仅对一个包中的部分品目投标，否则投标无效。</w:t>
      </w:r>
    </w:p>
    <w:p w14:paraId="0869F1A5">
      <w:pPr>
        <w:widowControl w:val="0"/>
        <w:adjustRightInd w:val="0"/>
        <w:snapToGrid w:val="0"/>
        <w:spacing w:before="120" w:beforeLines="50" w:line="360" w:lineRule="auto"/>
        <w:ind w:firstLine="420" w:firstLineChars="200"/>
        <w:jc w:val="both"/>
        <w:rPr>
          <w:rStyle w:val="13"/>
          <w:rFonts w:hint="eastAsia" w:ascii="宋体" w:hAnsi="宋体" w:eastAsia="宋体" w:cs="Times New Roman"/>
          <w:kern w:val="2"/>
          <w:sz w:val="21"/>
          <w:szCs w:val="21"/>
          <w:highlight w:val="none"/>
          <w:lang w:val="en-US" w:eastAsia="zh-CN" w:bidi="ar-SA"/>
        </w:rPr>
      </w:pPr>
      <w:r>
        <w:rPr>
          <w:rStyle w:val="13"/>
          <w:rFonts w:hint="eastAsia" w:ascii="宋体" w:hAnsi="宋体" w:eastAsia="宋体" w:cs="Times New Roman"/>
          <w:kern w:val="2"/>
          <w:sz w:val="21"/>
          <w:szCs w:val="21"/>
          <w:highlight w:val="none"/>
          <w:lang w:val="en-US" w:eastAsia="zh-CN" w:bidi="ar-SA"/>
        </w:rPr>
        <w:t>3、服务的主要技术参数或规格：详见“技术要求”中的具体技术参数。</w:t>
      </w:r>
    </w:p>
    <w:p w14:paraId="45924071">
      <w:pPr>
        <w:widowControl w:val="0"/>
        <w:adjustRightInd w:val="0"/>
        <w:snapToGrid w:val="0"/>
        <w:spacing w:before="120" w:beforeLines="50" w:line="360" w:lineRule="auto"/>
        <w:ind w:firstLine="420" w:firstLineChars="200"/>
        <w:jc w:val="both"/>
        <w:rPr>
          <w:rStyle w:val="13"/>
          <w:rFonts w:hint="eastAsia" w:ascii="宋体" w:hAnsi="宋体" w:eastAsia="宋体" w:cs="Times New Roman"/>
          <w:kern w:val="2"/>
          <w:sz w:val="21"/>
          <w:szCs w:val="21"/>
          <w:highlight w:val="none"/>
          <w:lang w:val="en-US" w:eastAsia="zh-CN" w:bidi="ar-SA"/>
        </w:rPr>
      </w:pPr>
      <w:r>
        <w:rPr>
          <w:rStyle w:val="13"/>
          <w:rFonts w:hint="eastAsia" w:ascii="宋体" w:hAnsi="宋体" w:eastAsia="宋体" w:cs="Times New Roman"/>
          <w:kern w:val="2"/>
          <w:sz w:val="21"/>
          <w:szCs w:val="21"/>
          <w:highlight w:val="none"/>
          <w:lang w:val="en-US" w:eastAsia="zh-CN" w:bidi="ar-SA"/>
        </w:rPr>
        <w:t>4、投标人“分项价格表”按分项项目名称（服务名称）报总价即可。</w:t>
      </w:r>
    </w:p>
    <w:p w14:paraId="185C31A7">
      <w:pPr>
        <w:widowControl w:val="0"/>
        <w:adjustRightInd w:val="0"/>
        <w:snapToGrid w:val="0"/>
        <w:spacing w:before="120" w:beforeLines="50" w:line="360" w:lineRule="auto"/>
        <w:ind w:firstLine="420" w:firstLineChars="200"/>
        <w:jc w:val="both"/>
        <w:rPr>
          <w:rStyle w:val="13"/>
          <w:rFonts w:hint="default" w:ascii="宋体" w:hAnsi="宋体" w:eastAsia="宋体" w:cs="宋体"/>
          <w:kern w:val="0"/>
          <w:sz w:val="21"/>
          <w:szCs w:val="21"/>
          <w:highlight w:val="none"/>
          <w:lang w:val="en-US" w:eastAsia="zh-CN" w:bidi="ar-SA"/>
        </w:rPr>
      </w:pPr>
    </w:p>
    <w:p w14:paraId="647577F0">
      <w:pPr>
        <w:widowControl w:val="0"/>
        <w:spacing w:after="0"/>
        <w:ind w:left="0" w:leftChars="0" w:firstLine="0" w:firstLineChars="0"/>
        <w:jc w:val="both"/>
        <w:rPr>
          <w:rStyle w:val="13"/>
          <w:rFonts w:ascii="Cambria Math" w:hAnsi="微软雅黑" w:eastAsia="Cambria Math" w:cs="Times New Roman"/>
          <w:kern w:val="2"/>
          <w:sz w:val="32"/>
          <w:szCs w:val="22"/>
          <w:lang w:val="en-US" w:eastAsia="zh-CN" w:bidi="ar-SA"/>
        </w:rPr>
      </w:pPr>
    </w:p>
    <w:p w14:paraId="24BA7EEB">
      <w:pPr>
        <w:keepNext/>
        <w:keepLines/>
        <w:widowControl w:val="0"/>
        <w:adjustRightInd w:val="0"/>
        <w:snapToGrid w:val="0"/>
        <w:spacing w:before="120" w:beforeLines="50" w:line="360" w:lineRule="auto"/>
        <w:jc w:val="center"/>
        <w:outlineLvl w:val="1"/>
        <w:rPr>
          <w:rStyle w:val="13"/>
          <w:rFonts w:ascii="黑体" w:hAnsi="华文中宋" w:eastAsia="黑体" w:cs="Times New Roman"/>
          <w:b/>
          <w:bCs/>
          <w:kern w:val="2"/>
          <w:sz w:val="32"/>
          <w:szCs w:val="32"/>
          <w:highlight w:val="none"/>
          <w:lang w:val="en-US" w:eastAsia="zh-CN" w:bidi="ar-SA"/>
        </w:rPr>
      </w:pPr>
      <w:bookmarkStart w:id="5" w:name="_Toc75437445"/>
      <w:r>
        <w:rPr>
          <w:rStyle w:val="13"/>
          <w:rFonts w:hint="eastAsia" w:ascii="黑体" w:hAnsi="黑体" w:eastAsia="黑体" w:cs="Times New Roman"/>
          <w:b/>
          <w:bCs/>
          <w:kern w:val="2"/>
          <w:sz w:val="28"/>
          <w:szCs w:val="28"/>
          <w:highlight w:val="none"/>
          <w:lang w:val="en-US" w:eastAsia="zh-CN" w:bidi="ar-SA"/>
        </w:rPr>
        <w:br w:type="page"/>
      </w:r>
      <w:bookmarkStart w:id="6" w:name="_Toc256000017"/>
      <w:bookmarkStart w:id="7" w:name="_Toc1109"/>
      <w:r>
        <w:rPr>
          <w:rStyle w:val="13"/>
          <w:rFonts w:hint="eastAsia" w:ascii="黑体" w:hAnsi="黑体" w:eastAsia="黑体" w:cs="Times New Roman"/>
          <w:b/>
          <w:bCs/>
          <w:kern w:val="2"/>
          <w:sz w:val="28"/>
          <w:szCs w:val="28"/>
          <w:highlight w:val="none"/>
          <w:lang w:val="en-US" w:eastAsia="zh-CN" w:bidi="ar-SA"/>
        </w:rPr>
        <w:t xml:space="preserve">第二节 </w:t>
      </w:r>
      <w:r>
        <w:rPr>
          <w:rStyle w:val="13"/>
          <w:rFonts w:ascii="黑体" w:hAnsi="黑体" w:eastAsia="黑体" w:cs="Times New Roman"/>
          <w:b/>
          <w:bCs/>
          <w:kern w:val="2"/>
          <w:sz w:val="28"/>
          <w:szCs w:val="28"/>
          <w:highlight w:val="none"/>
          <w:lang w:val="en-US" w:eastAsia="zh-CN" w:bidi="ar-SA"/>
        </w:rPr>
        <w:t>技术要求</w:t>
      </w:r>
      <w:bookmarkEnd w:id="5"/>
      <w:bookmarkEnd w:id="6"/>
      <w:bookmarkEnd w:id="7"/>
      <w:bookmarkStart w:id="8" w:name="_Toc75437446"/>
    </w:p>
    <w:p w14:paraId="1E1D9E60">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both"/>
        <w:textAlignment w:val="auto"/>
        <w:rPr>
          <w:rStyle w:val="13"/>
          <w:rFonts w:hint="eastAsia" w:ascii="宋体" w:hAnsi="宋体" w:eastAsia="宋体" w:cs="Times New Roman"/>
          <w:strike/>
          <w:dstrike w:val="0"/>
          <w:kern w:val="2"/>
          <w:sz w:val="21"/>
          <w:szCs w:val="21"/>
          <w:highlight w:val="none"/>
          <w:lang w:val="en-US" w:eastAsia="zh-CN" w:bidi="ar-SA"/>
        </w:rPr>
      </w:pPr>
      <w:bookmarkStart w:id="9" w:name="_Toc23146"/>
      <w:r>
        <w:rPr>
          <w:rStyle w:val="13"/>
          <w:rFonts w:hint="eastAsia" w:ascii="宋体" w:hAnsi="宋体" w:eastAsia="宋体" w:cs="Times New Roman"/>
          <w:b/>
          <w:kern w:val="2"/>
          <w:sz w:val="21"/>
          <w:szCs w:val="21"/>
          <w:lang w:val="en-US" w:eastAsia="zh-CN" w:bidi="ar-SA"/>
        </w:rPr>
        <w:t>一、项</w:t>
      </w:r>
      <w:r>
        <w:rPr>
          <w:rStyle w:val="13"/>
          <w:rFonts w:hint="eastAsia" w:ascii="宋体" w:hAnsi="宋体" w:eastAsia="宋体" w:cs="Times New Roman"/>
          <w:b/>
          <w:kern w:val="2"/>
          <w:sz w:val="21"/>
          <w:szCs w:val="21"/>
          <w:highlight w:val="none"/>
          <w:lang w:val="en-US" w:eastAsia="zh-CN" w:bidi="ar-SA"/>
        </w:rPr>
        <w:t>目概况：</w:t>
      </w:r>
    </w:p>
    <w:p w14:paraId="3FB320C8">
      <w:pPr>
        <w:shd w:val="clear" w:color="auto" w:fill="FFFFFF"/>
        <w:spacing w:line="360" w:lineRule="auto"/>
        <w:ind w:firstLine="210" w:firstLineChars="100"/>
        <w:rPr>
          <w:rFonts w:hint="eastAsia" w:ascii="宋体" w:hAnsi="宋体" w:eastAsia="宋体" w:cs="宋体"/>
          <w:color w:val="000000"/>
          <w:szCs w:val="21"/>
          <w:highlight w:val="none"/>
          <w:lang w:eastAsia="zh-CN"/>
        </w:rPr>
      </w:pPr>
      <w:r>
        <w:rPr>
          <w:rFonts w:hint="eastAsia" w:ascii="宋体" w:hAnsi="宋体" w:eastAsia="宋体" w:cs="宋体"/>
          <w:color w:val="000000"/>
          <w:szCs w:val="21"/>
        </w:rPr>
        <w:t>1.1、</w:t>
      </w:r>
      <w:r>
        <w:rPr>
          <w:rFonts w:hint="eastAsia" w:ascii="宋体" w:hAnsi="宋体" w:eastAsia="宋体" w:cs="Times New Roman"/>
          <w:sz w:val="24"/>
          <w:szCs w:val="24"/>
          <w:highlight w:val="none"/>
        </w:rPr>
        <w:t xml:space="preserve">GE REVOLUTION </w:t>
      </w:r>
      <w:r>
        <w:rPr>
          <w:rFonts w:hint="eastAsia" w:ascii="宋体" w:hAnsi="宋体" w:eastAsia="宋体" w:cs="Times New Roman"/>
          <w:strike w:val="0"/>
          <w:dstrike w:val="0"/>
          <w:sz w:val="24"/>
          <w:szCs w:val="24"/>
          <w:highlight w:val="none"/>
        </w:rPr>
        <w:t xml:space="preserve">Frontier </w:t>
      </w:r>
      <w:r>
        <w:rPr>
          <w:rFonts w:ascii="宋体" w:hAnsi="宋体" w:eastAsia="宋体" w:cs="Times New Roman"/>
          <w:strike w:val="0"/>
          <w:dstrike w:val="0"/>
          <w:sz w:val="24"/>
          <w:szCs w:val="24"/>
          <w:highlight w:val="none"/>
        </w:rPr>
        <w:t>CT</w:t>
      </w:r>
      <w:r>
        <w:rPr>
          <w:rFonts w:hint="eastAsia" w:ascii="宋体" w:hAnsi="宋体" w:eastAsia="宋体" w:cs="宋体"/>
          <w:color w:val="000000"/>
          <w:szCs w:val="21"/>
          <w:highlight w:val="none"/>
        </w:rPr>
        <w:t>一台，保修期限：</w:t>
      </w:r>
      <w:r>
        <w:rPr>
          <w:rFonts w:hint="eastAsia" w:ascii="宋体" w:hAnsi="宋体" w:eastAsia="宋体" w:cs="宋体"/>
          <w:color w:val="000000"/>
          <w:szCs w:val="21"/>
          <w:highlight w:val="none"/>
          <w:lang w:val="en-US" w:eastAsia="zh-CN"/>
        </w:rPr>
        <w:t>三</w:t>
      </w:r>
      <w:r>
        <w:rPr>
          <w:rFonts w:hint="eastAsia" w:ascii="宋体" w:hAnsi="宋体" w:eastAsia="宋体" w:cs="宋体"/>
          <w:color w:val="000000"/>
          <w:szCs w:val="21"/>
          <w:highlight w:val="none"/>
        </w:rPr>
        <w:t>年。</w:t>
      </w:r>
      <w:bookmarkStart w:id="10" w:name="OLE_LINK1"/>
      <w:r>
        <w:rPr>
          <w:rFonts w:hint="eastAsia" w:ascii="宋体" w:hAnsi="宋体" w:eastAsia="宋体" w:cs="宋体"/>
          <w:color w:val="000000"/>
          <w:szCs w:val="21"/>
          <w:highlight w:val="none"/>
        </w:rPr>
        <w:t>保修范围:</w:t>
      </w:r>
      <w:bookmarkStart w:id="11" w:name="OLE_LINK2"/>
      <w:r>
        <w:rPr>
          <w:rFonts w:hint="eastAsia" w:ascii="宋体" w:hAnsi="宋体" w:eastAsia="宋体" w:cs="宋体"/>
          <w:color w:val="000000"/>
          <w:szCs w:val="21"/>
          <w:highlight w:val="none"/>
        </w:rPr>
        <w:t>整机全保服务，包含主机所有人工及备件</w:t>
      </w:r>
      <w:bookmarkEnd w:id="10"/>
      <w:bookmarkEnd w:id="11"/>
      <w:r>
        <w:rPr>
          <w:rFonts w:hint="eastAsia" w:ascii="宋体" w:hAnsi="宋体" w:eastAsia="宋体" w:cs="宋体"/>
          <w:color w:val="000000"/>
          <w:szCs w:val="21"/>
          <w:highlight w:val="none"/>
        </w:rPr>
        <w:t>(含球管、探测器)</w:t>
      </w:r>
      <w:r>
        <w:rPr>
          <w:rFonts w:hint="eastAsia" w:ascii="宋体" w:hAnsi="宋体" w:eastAsia="宋体" w:cs="宋体"/>
          <w:color w:val="000000"/>
          <w:szCs w:val="21"/>
          <w:highlight w:val="none"/>
          <w:lang w:eastAsia="zh-CN"/>
        </w:rPr>
        <w:t>。</w:t>
      </w:r>
    </w:p>
    <w:p w14:paraId="67F43025">
      <w:pPr>
        <w:shd w:val="clear" w:color="auto" w:fill="FFFFFF"/>
        <w:spacing w:line="360" w:lineRule="auto"/>
        <w:ind w:left="210" w:leftChars="100" w:firstLine="0" w:firstLineChars="0"/>
        <w:rPr>
          <w:rFonts w:hint="eastAsia" w:ascii="宋体" w:hAnsi="宋体" w:eastAsia="宋体" w:cs="宋体"/>
          <w:sz w:val="21"/>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.2、</w:t>
      </w:r>
      <w:r>
        <w:rPr>
          <w:rFonts w:hint="eastAsia" w:ascii="宋体" w:hAnsi="宋体" w:eastAsia="宋体" w:cs="宋体"/>
          <w:sz w:val="21"/>
          <w:szCs w:val="21"/>
        </w:rPr>
        <w:t>维保费用包含：</w:t>
      </w:r>
    </w:p>
    <w:p w14:paraId="6E64A0B9">
      <w:pPr>
        <w:shd w:val="clear" w:color="auto" w:fill="FFFFFF"/>
        <w:spacing w:line="360" w:lineRule="auto"/>
        <w:ind w:left="210" w:leftChars="100" w:firstLine="210" w:firstLineChars="100"/>
        <w:rPr>
          <w:rFonts w:hint="default" w:ascii="宋体" w:hAnsi="宋体" w:eastAsia="宋体" w:cs="宋体"/>
          <w:color w:val="000000"/>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设备定期检查保养的费用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每年4次，每季度最后一个月周末</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维修人员的工时费、差旅费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保险费（包含意外险）</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故障零备件维修及更换的费用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4）节假日加班费</w:t>
      </w:r>
    </w:p>
    <w:bookmarkEnd w:id="9"/>
    <w:p w14:paraId="25768539">
      <w:pPr>
        <w:shd w:val="clear" w:color="auto" w:fill="FFFFFF"/>
        <w:spacing w:line="360" w:lineRule="auto"/>
        <w:ind w:left="210" w:leftChars="100" w:firstLine="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1.3、项目实施地点：</w:t>
      </w:r>
      <w:r>
        <w:rPr>
          <w:rFonts w:hint="default" w:ascii="宋体" w:hAnsi="宋体" w:eastAsia="宋体" w:cs="宋体"/>
          <w:color w:val="000000"/>
          <w:szCs w:val="21"/>
          <w:lang w:val="en-US" w:eastAsia="zh-CN"/>
        </w:rPr>
        <w:t>南华大学附属第二医院</w:t>
      </w:r>
      <w:r>
        <w:rPr>
          <w:rFonts w:hint="eastAsia" w:ascii="宋体" w:hAnsi="宋体" w:eastAsia="宋体" w:cs="宋体"/>
          <w:color w:val="000000"/>
          <w:szCs w:val="21"/>
          <w:lang w:val="en-US" w:eastAsia="zh-CN"/>
        </w:rPr>
        <w:t>。</w:t>
      </w:r>
    </w:p>
    <w:p w14:paraId="07C5B993">
      <w:pPr>
        <w:spacing w:after="0"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二、技术和服务要求</w:t>
      </w:r>
    </w:p>
    <w:tbl>
      <w:tblPr>
        <w:tblStyle w:val="12"/>
        <w:tblW w:w="503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2"/>
        <w:gridCol w:w="1297"/>
        <w:gridCol w:w="6414"/>
      </w:tblGrid>
      <w:tr w14:paraId="1518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395" w:type="pct"/>
            <w:tcBorders>
              <w:bottom w:val="single" w:color="auto" w:sz="4" w:space="0"/>
              <w:right w:val="single" w:color="000000" w:sz="4" w:space="0"/>
            </w:tcBorders>
            <w:noWrap w:val="0"/>
            <w:vAlign w:val="center"/>
          </w:tcPr>
          <w:p w14:paraId="0A0919A0">
            <w:pPr>
              <w:pStyle w:val="18"/>
              <w:keepNext w:val="0"/>
              <w:keepLines w:val="0"/>
              <w:pageBreakBefore w:val="0"/>
              <w:kinsoku/>
              <w:wordWrap/>
              <w:overflowPunct/>
              <w:topLinePunct w:val="0"/>
              <w:autoSpaceDE w:val="0"/>
              <w:autoSpaceDN w:val="0"/>
              <w:bidi w:val="0"/>
              <w:adjustRightInd w:val="0"/>
              <w:snapToGrid w:val="0"/>
              <w:spacing w:after="0" w:afterLines="0" w:line="360" w:lineRule="auto"/>
              <w:ind w:left="0" w:leftChars="0" w:firstLine="0" w:firstLineChars="0"/>
              <w:jc w:val="center"/>
              <w:textAlignment w:val="center"/>
              <w:rPr>
                <w:rFonts w:hint="eastAsia" w:ascii="宋体" w:hAnsi="宋体" w:eastAsia="宋体" w:cs="宋体"/>
                <w:b/>
                <w:lang w:eastAsia="zh-CN"/>
              </w:rPr>
            </w:pPr>
            <w:r>
              <w:rPr>
                <w:rFonts w:hint="eastAsia" w:ascii="宋体" w:hAnsi="宋体" w:eastAsia="宋体" w:cs="宋体"/>
                <w:b/>
                <w:lang w:val="en-US" w:eastAsia="zh-CN"/>
              </w:rPr>
              <w:t>序号</w:t>
            </w:r>
          </w:p>
        </w:tc>
        <w:tc>
          <w:tcPr>
            <w:tcW w:w="774" w:type="pct"/>
            <w:tcBorders>
              <w:left w:val="single" w:color="000000" w:sz="4" w:space="0"/>
              <w:bottom w:val="single" w:color="auto" w:sz="4" w:space="0"/>
              <w:right w:val="single" w:color="000000" w:sz="4" w:space="0"/>
            </w:tcBorders>
            <w:noWrap w:val="0"/>
            <w:vAlign w:val="center"/>
          </w:tcPr>
          <w:p w14:paraId="523F5D79">
            <w:pPr>
              <w:pStyle w:val="18"/>
              <w:keepNext w:val="0"/>
              <w:keepLines w:val="0"/>
              <w:pageBreakBefore w:val="0"/>
              <w:kinsoku/>
              <w:wordWrap/>
              <w:overflowPunct/>
              <w:topLinePunct w:val="0"/>
              <w:autoSpaceDE w:val="0"/>
              <w:autoSpaceDN w:val="0"/>
              <w:bidi w:val="0"/>
              <w:adjustRightInd w:val="0"/>
              <w:snapToGrid w:val="0"/>
              <w:spacing w:after="0" w:afterLines="0" w:line="360" w:lineRule="auto"/>
              <w:ind w:left="0" w:leftChars="0" w:firstLine="0" w:firstLineChars="0"/>
              <w:jc w:val="center"/>
              <w:textAlignment w:val="center"/>
              <w:rPr>
                <w:rFonts w:hint="default" w:ascii="宋体" w:hAnsi="宋体" w:eastAsia="宋体" w:cs="宋体"/>
                <w:b/>
                <w:lang w:val="en-US"/>
              </w:rPr>
            </w:pPr>
            <w:r>
              <w:rPr>
                <w:rFonts w:hint="eastAsia" w:ascii="宋体" w:hAnsi="宋体" w:eastAsia="宋体" w:cs="宋体"/>
                <w:b/>
                <w:lang w:val="en-US" w:eastAsia="zh-CN"/>
              </w:rPr>
              <w:t>服务名称</w:t>
            </w:r>
          </w:p>
        </w:tc>
        <w:tc>
          <w:tcPr>
            <w:tcW w:w="3829" w:type="pct"/>
            <w:tcBorders>
              <w:left w:val="single" w:color="000000" w:sz="4" w:space="0"/>
              <w:bottom w:val="single" w:color="auto" w:sz="4" w:space="0"/>
            </w:tcBorders>
            <w:noWrap w:val="0"/>
            <w:vAlign w:val="center"/>
          </w:tcPr>
          <w:p w14:paraId="74E33CCD">
            <w:pPr>
              <w:pStyle w:val="18"/>
              <w:keepNext w:val="0"/>
              <w:keepLines w:val="0"/>
              <w:pageBreakBefore w:val="0"/>
              <w:kinsoku/>
              <w:wordWrap/>
              <w:overflowPunct/>
              <w:topLinePunct w:val="0"/>
              <w:autoSpaceDE w:val="0"/>
              <w:autoSpaceDN w:val="0"/>
              <w:bidi w:val="0"/>
              <w:adjustRightInd w:val="0"/>
              <w:snapToGrid w:val="0"/>
              <w:spacing w:after="0" w:afterLines="0" w:line="360" w:lineRule="auto"/>
              <w:ind w:left="0" w:leftChars="0" w:firstLine="0" w:firstLineChars="0"/>
              <w:jc w:val="center"/>
              <w:textAlignment w:val="center"/>
              <w:rPr>
                <w:rFonts w:hint="eastAsia" w:ascii="宋体" w:hAnsi="宋体" w:eastAsia="宋体" w:cs="宋体"/>
                <w:b/>
              </w:rPr>
            </w:pPr>
            <w:r>
              <w:rPr>
                <w:rFonts w:hint="eastAsia" w:ascii="宋体" w:hAnsi="宋体" w:eastAsia="宋体" w:cs="宋体"/>
                <w:b/>
                <w:lang w:val="en-US" w:eastAsia="zh-CN"/>
              </w:rPr>
              <w:t>服务</w:t>
            </w:r>
            <w:r>
              <w:rPr>
                <w:rFonts w:hint="eastAsia" w:ascii="宋体" w:hAnsi="宋体" w:eastAsia="宋体" w:cs="宋体"/>
                <w:b/>
              </w:rPr>
              <w:t>规格及要求</w:t>
            </w:r>
          </w:p>
        </w:tc>
      </w:tr>
      <w:tr w14:paraId="6ECE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3" w:hRule="atLeast"/>
        </w:trPr>
        <w:tc>
          <w:tcPr>
            <w:tcW w:w="395" w:type="pct"/>
            <w:noWrap w:val="0"/>
            <w:vAlign w:val="center"/>
          </w:tcPr>
          <w:p w14:paraId="03189B3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74" w:type="pct"/>
            <w:noWrap w:val="0"/>
            <w:vAlign w:val="center"/>
          </w:tcPr>
          <w:p w14:paraId="34BF9EF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kern w:val="0"/>
                <w:sz w:val="24"/>
                <w:szCs w:val="21"/>
              </w:rPr>
            </w:pPr>
            <w:r>
              <w:rPr>
                <w:rFonts w:hint="eastAsia" w:ascii="宋体" w:hAnsi="宋体" w:eastAsia="宋体" w:cs="宋体"/>
                <w:snapToGrid w:val="0"/>
                <w:color w:val="000000"/>
                <w:spacing w:val="2"/>
                <w:kern w:val="0"/>
                <w:szCs w:val="21"/>
                <w:lang w:eastAsia="zh-CN"/>
              </w:rPr>
              <w:t>GE Frontier CT维保服务</w:t>
            </w:r>
          </w:p>
        </w:tc>
        <w:tc>
          <w:tcPr>
            <w:tcW w:w="3829" w:type="pct"/>
            <w:noWrap w:val="0"/>
            <w:vAlign w:val="center"/>
          </w:tcPr>
          <w:p w14:paraId="073BF949">
            <w:pPr>
              <w:shd w:val="clear" w:color="auto" w:fill="FFFFFF"/>
              <w:spacing w:line="360" w:lineRule="auto"/>
              <w:rPr>
                <w:rFonts w:ascii="宋体" w:hAnsi="宋体" w:eastAsia="宋体" w:cs="宋体"/>
                <w:color w:val="000000"/>
                <w:szCs w:val="21"/>
                <w:highlight w:val="none"/>
              </w:rPr>
            </w:pPr>
            <w:r>
              <w:rPr>
                <w:rFonts w:hint="eastAsia" w:ascii="宋体" w:hAnsi="宋体" w:eastAsia="宋体" w:cs="宋体"/>
                <w:b/>
                <w:bCs/>
                <w:color w:val="000000"/>
                <w:szCs w:val="21"/>
              </w:rPr>
              <w:t>1、</w:t>
            </w:r>
            <w:r>
              <w:rPr>
                <w:rFonts w:hint="eastAsia" w:ascii="宋体" w:hAnsi="宋体" w:eastAsia="宋体" w:cs="宋体"/>
                <w:b/>
                <w:bCs/>
                <w:color w:val="000000"/>
                <w:szCs w:val="21"/>
                <w:highlight w:val="none"/>
              </w:rPr>
              <w:t>技术要求</w:t>
            </w:r>
          </w:p>
          <w:p w14:paraId="455C0DB1">
            <w:pPr>
              <w:shd w:val="clear" w:color="auto" w:fill="FFFFFF"/>
              <w:spacing w:line="360" w:lineRule="auto"/>
              <w:ind w:firstLine="210" w:firstLineChars="100"/>
              <w:rPr>
                <w:rFonts w:ascii="宋体" w:hAnsi="宋体" w:eastAsia="宋体" w:cs="宋体"/>
                <w:color w:val="000000"/>
                <w:szCs w:val="21"/>
                <w:highlight w:val="none"/>
              </w:rPr>
            </w:pPr>
            <w:r>
              <w:rPr>
                <w:rFonts w:hint="eastAsia" w:ascii="宋体" w:hAnsi="宋体" w:eastAsia="宋体" w:cs="宋体"/>
                <w:color w:val="000000"/>
                <w:szCs w:val="21"/>
                <w:highlight w:val="none"/>
              </w:rPr>
              <w:t>1.1、保修设备在保修期内不限次数提供维修服务；</w:t>
            </w:r>
          </w:p>
          <w:p w14:paraId="470393EA">
            <w:pPr>
              <w:shd w:val="clear" w:color="auto" w:fill="FFFFFF"/>
              <w:spacing w:line="360" w:lineRule="auto"/>
              <w:ind w:firstLine="210" w:firstLineChars="100"/>
              <w:rPr>
                <w:rFonts w:ascii="宋体" w:hAnsi="宋体" w:eastAsia="宋体" w:cs="宋体"/>
                <w:color w:val="000000"/>
                <w:szCs w:val="21"/>
                <w:highlight w:val="none"/>
              </w:rPr>
            </w:pPr>
            <w:r>
              <w:rPr>
                <w:rFonts w:hint="eastAsia" w:ascii="宋体" w:hAnsi="宋体" w:eastAsia="宋体" w:cs="宋体"/>
                <w:color w:val="000000"/>
                <w:szCs w:val="21"/>
                <w:highlight w:val="none"/>
              </w:rPr>
              <w:t>1.2、每年度进行四次现场校准和保养服务，并提供书面保养报告；</w:t>
            </w:r>
          </w:p>
          <w:p w14:paraId="1F3B3D4C">
            <w:pPr>
              <w:shd w:val="clear" w:color="auto" w:fill="FFFFFF"/>
              <w:spacing w:line="360" w:lineRule="auto"/>
              <w:ind w:firstLine="210" w:firstLineChars="100"/>
              <w:rPr>
                <w:rFonts w:ascii="宋体" w:hAnsi="宋体" w:eastAsia="宋体" w:cs="宋体"/>
                <w:color w:val="000000"/>
                <w:szCs w:val="21"/>
                <w:highlight w:val="none"/>
              </w:rPr>
            </w:pPr>
            <w:r>
              <w:rPr>
                <w:rFonts w:hint="eastAsia" w:ascii="宋体" w:hAnsi="宋体" w:eastAsia="宋体" w:cs="宋体"/>
                <w:color w:val="000000"/>
                <w:szCs w:val="21"/>
                <w:highlight w:val="none"/>
              </w:rPr>
              <w:t>1.3、保修期内免费提供设备的系统软件及硬件的安全性改版升级和技术支持；</w:t>
            </w:r>
          </w:p>
          <w:p w14:paraId="3D960595">
            <w:pPr>
              <w:shd w:val="clear" w:color="auto" w:fill="FFFFFF"/>
              <w:spacing w:line="360" w:lineRule="auto"/>
              <w:ind w:firstLine="210" w:firstLineChars="100"/>
              <w:rPr>
                <w:rFonts w:ascii="宋体" w:hAnsi="宋体" w:eastAsia="宋体" w:cs="宋体"/>
                <w:b/>
                <w:bCs/>
                <w:color w:val="000000"/>
                <w:szCs w:val="21"/>
                <w:highlight w:val="none"/>
              </w:rPr>
            </w:pPr>
            <w:r>
              <w:rPr>
                <w:rFonts w:hint="eastAsia" w:ascii="宋体" w:hAnsi="宋体" w:eastAsia="宋体" w:cs="宋体"/>
                <w:color w:val="000000"/>
                <w:szCs w:val="21"/>
                <w:highlight w:val="none"/>
              </w:rPr>
              <w:t>1.4、须能合法获得使用在有效期内的原厂故障诊断软件及诊断Service Key,并保证不违反国家有关知识产权的法律规定，</w:t>
            </w:r>
            <w:r>
              <w:rPr>
                <w:rFonts w:hint="eastAsia" w:ascii="宋体" w:hAnsi="宋体" w:eastAsia="宋体" w:cs="宋体"/>
                <w:b/>
                <w:bCs/>
                <w:color w:val="000000"/>
                <w:szCs w:val="21"/>
                <w:highlight w:val="none"/>
              </w:rPr>
              <w:t>投标人对此进行承诺</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提供承诺函，格式自拟</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w:t>
            </w:r>
          </w:p>
          <w:p w14:paraId="15B9BF90">
            <w:pPr>
              <w:shd w:val="clear" w:color="auto" w:fill="FFFFFF"/>
              <w:spacing w:line="360" w:lineRule="auto"/>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1.5、提供常设售后服务热线电话接到故障报修电话后不超过</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小时内响应,并及时提供相关的维修解决方案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不超过24小时赶到现场，48小时解决故障问题。</w:t>
            </w:r>
          </w:p>
          <w:p w14:paraId="0A626445">
            <w:pPr>
              <w:shd w:val="clear" w:color="auto" w:fill="FFFFFF"/>
              <w:spacing w:line="360" w:lineRule="auto"/>
              <w:ind w:firstLine="210" w:firstLineChars="1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1.6、保证保修期内设备的开机率≥95％（以每年365天计算）；额外停机天数按1:</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的比例延长保修时间</w:t>
            </w:r>
            <w:r>
              <w:rPr>
                <w:rFonts w:hint="eastAsia" w:ascii="宋体" w:hAnsi="宋体" w:eastAsia="宋体" w:cs="宋体"/>
                <w:color w:val="000000"/>
                <w:szCs w:val="21"/>
                <w:highlight w:val="none"/>
                <w:lang w:eastAsia="zh-CN"/>
              </w:rPr>
              <w:t>。</w:t>
            </w:r>
          </w:p>
          <w:p w14:paraId="0A5AAB90">
            <w:pPr>
              <w:shd w:val="clear" w:color="auto" w:fill="FFFFFF"/>
              <w:spacing w:line="360" w:lineRule="auto"/>
              <w:ind w:firstLine="210" w:firstLineChars="100"/>
              <w:rPr>
                <w:rFonts w:ascii="宋体" w:hAnsi="宋体" w:eastAsia="宋体" w:cs="宋体"/>
                <w:color w:val="000000"/>
                <w:szCs w:val="21"/>
                <w:highlight w:val="none"/>
              </w:rPr>
            </w:pPr>
            <w:r>
              <w:rPr>
                <w:rFonts w:hint="eastAsia" w:ascii="宋体" w:hAnsi="宋体" w:eastAsia="宋体" w:cs="宋体"/>
                <w:color w:val="000000"/>
                <w:szCs w:val="21"/>
                <w:highlight w:val="none"/>
              </w:rPr>
              <w:t>1.7、所更换的备件必须是原厂认证合格的</w:t>
            </w:r>
            <w:r>
              <w:rPr>
                <w:rFonts w:hint="eastAsia" w:ascii="宋体" w:hAnsi="宋体" w:eastAsia="宋体" w:cs="宋体"/>
                <w:color w:val="000000"/>
                <w:szCs w:val="21"/>
                <w:highlight w:val="none"/>
                <w:lang w:val="en-US" w:eastAsia="zh-CN"/>
              </w:rPr>
              <w:t>全新</w:t>
            </w:r>
            <w:r>
              <w:rPr>
                <w:rFonts w:hint="eastAsia" w:ascii="宋体" w:hAnsi="宋体" w:eastAsia="宋体" w:cs="宋体"/>
                <w:color w:val="000000"/>
                <w:szCs w:val="21"/>
                <w:highlight w:val="none"/>
              </w:rPr>
              <w:t>零配件,满足设备运行要求,不会给设备带来危害且备件来源合法；</w:t>
            </w:r>
            <w:r>
              <w:rPr>
                <w:rFonts w:hint="eastAsia" w:ascii="宋体" w:hAnsi="宋体" w:eastAsia="宋体" w:cs="宋体"/>
                <w:b/>
                <w:bCs/>
                <w:color w:val="000000"/>
                <w:szCs w:val="21"/>
                <w:highlight w:val="none"/>
              </w:rPr>
              <w:t>投标人对此进行承诺</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提供承诺函，格式自拟</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w:t>
            </w:r>
          </w:p>
          <w:p w14:paraId="57BC2058">
            <w:pPr>
              <w:shd w:val="clear" w:color="auto" w:fill="FFFFFF"/>
              <w:spacing w:line="360" w:lineRule="auto"/>
              <w:ind w:firstLine="210" w:firstLineChars="100"/>
              <w:rPr>
                <w:rFonts w:ascii="宋体" w:hAnsi="宋体" w:eastAsia="宋体" w:cs="宋体"/>
                <w:b/>
                <w:bCs/>
                <w:color w:val="000000"/>
                <w:szCs w:val="21"/>
                <w:highlight w:val="none"/>
              </w:rPr>
            </w:pPr>
            <w:r>
              <w:rPr>
                <w:rFonts w:hint="eastAsia" w:ascii="宋体" w:hAnsi="宋体" w:eastAsia="宋体" w:cs="宋体"/>
                <w:color w:val="000000"/>
                <w:szCs w:val="21"/>
                <w:highlight w:val="none"/>
              </w:rPr>
              <w:t>1.8、</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针对该设备必须</w:t>
            </w:r>
            <w:r>
              <w:rPr>
                <w:rFonts w:hint="eastAsia" w:ascii="宋体" w:hAnsi="Times New Roman" w:eastAsia="宋体" w:cs="@仿宋_GB2312"/>
                <w:szCs w:val="20"/>
                <w:highlight w:val="none"/>
                <w:lang w:val="en-US" w:eastAsia="zh-CN"/>
              </w:rPr>
              <w:t>无偿</w:t>
            </w:r>
            <w:r>
              <w:rPr>
                <w:rFonts w:hint="eastAsia" w:ascii="宋体" w:hAnsi="宋体" w:eastAsia="宋体" w:cs="宋体"/>
                <w:color w:val="000000"/>
                <w:szCs w:val="21"/>
                <w:highlight w:val="none"/>
              </w:rPr>
              <w:t>提供基于宽带接入的、内嵌式的具备对设备的运行状况进行实时监测的远程服务系统；基于内嵌式远程连接服务须符合HIPAA和ISO27001国际信息安全管理体系的安全要求</w:t>
            </w:r>
            <w:r>
              <w:rPr>
                <w:rFonts w:hint="eastAsia" w:ascii="宋体" w:hAnsi="宋体" w:eastAsia="宋体" w:cs="宋体"/>
                <w:color w:val="000000"/>
                <w:szCs w:val="21"/>
                <w:highlight w:val="none"/>
                <w:lang w:eastAsia="zh-CN"/>
              </w:rPr>
              <w:t>；</w:t>
            </w:r>
            <w:r>
              <w:rPr>
                <w:rFonts w:hint="eastAsia" w:ascii="宋体" w:hAnsi="宋体" w:eastAsia="宋体" w:cs="宋体"/>
                <w:b/>
                <w:bCs/>
                <w:color w:val="000000"/>
                <w:szCs w:val="21"/>
                <w:highlight w:val="none"/>
              </w:rPr>
              <w:t>投标人对此进行承诺。</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提供承诺函，格式自拟</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w:t>
            </w:r>
          </w:p>
          <w:p w14:paraId="4DE219F7">
            <w:pPr>
              <w:shd w:val="clear" w:color="auto" w:fill="FFFFFF"/>
              <w:spacing w:line="360" w:lineRule="auto"/>
              <w:ind w:firstLine="210" w:firstLineChars="100"/>
              <w:rPr>
                <w:rFonts w:hint="eastAsia" w:ascii="宋体" w:hAnsi="宋体" w:eastAsia="宋体" w:cs="宋体"/>
                <w:szCs w:val="24"/>
                <w:highlight w:val="none"/>
              </w:rPr>
            </w:pPr>
            <w:r>
              <w:rPr>
                <w:rFonts w:hint="eastAsia" w:ascii="宋体" w:hAnsi="宋体" w:eastAsia="宋体" w:cs="宋体"/>
                <w:szCs w:val="21"/>
                <w:highlight w:val="none"/>
              </w:rPr>
              <w:t>★1.9、</w:t>
            </w:r>
            <w:r>
              <w:rPr>
                <w:rFonts w:hint="eastAsia" w:ascii="宋体" w:hAnsi="宋体" w:eastAsia="宋体" w:cs="宋体"/>
                <w:szCs w:val="24"/>
                <w:highlight w:val="none"/>
              </w:rPr>
              <w:t>投标人在服务期内所提供保修更换的球管需符合国家食品药品监督管理局NMPA原机整机注册证要求，必须是设备主机生产厂家认证合格的同规格同型号的全新球管，并且球管出厂日期不大于6个月，更换球管</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可溯源</w:t>
            </w:r>
            <w:r>
              <w:rPr>
                <w:rFonts w:hint="eastAsia" w:ascii="宋体" w:hAnsi="宋体" w:eastAsia="宋体" w:cs="宋体"/>
                <w:szCs w:val="24"/>
                <w:highlight w:val="none"/>
                <w:lang w:eastAsia="zh-CN"/>
              </w:rPr>
              <w:t>）</w:t>
            </w:r>
            <w:r>
              <w:rPr>
                <w:rFonts w:hint="eastAsia" w:ascii="宋体" w:hAnsi="宋体" w:eastAsia="宋体" w:cs="宋体"/>
                <w:szCs w:val="24"/>
                <w:highlight w:val="none"/>
              </w:rPr>
              <w:t>时须提供海关清关证明；更换球管后负责邀请第三方做整机性能检测</w:t>
            </w:r>
            <w:r>
              <w:rPr>
                <w:rFonts w:hint="eastAsia" w:ascii="宋体" w:hAnsi="Times New Roman" w:eastAsia="宋体" w:cs="@仿宋_GB2312"/>
                <w:szCs w:val="20"/>
                <w:highlight w:val="none"/>
                <w:lang w:eastAsia="zh-CN"/>
              </w:rPr>
              <w:t>，检测费用由中标方支付</w:t>
            </w:r>
            <w:r>
              <w:rPr>
                <w:rFonts w:hint="eastAsia" w:ascii="宋体" w:hAnsi="宋体" w:eastAsia="宋体" w:cs="宋体"/>
                <w:szCs w:val="24"/>
                <w:highlight w:val="none"/>
              </w:rPr>
              <w:t>。</w:t>
            </w:r>
            <w:r>
              <w:rPr>
                <w:rStyle w:val="13"/>
                <w:rFonts w:hint="eastAsia" w:ascii="宋体" w:hAnsi="宋体" w:eastAsia="宋体" w:cs="宋体"/>
                <w:color w:val="000000"/>
                <w:sz w:val="24"/>
                <w:szCs w:val="24"/>
                <w:highlight w:val="none"/>
                <w:lang w:eastAsia="zh-CN"/>
              </w:rPr>
              <w:t>（</w:t>
            </w:r>
            <w:r>
              <w:rPr>
                <w:rFonts w:hint="eastAsia" w:ascii="宋体" w:hAnsi="宋体" w:eastAsia="宋体" w:cs="宋体"/>
                <w:szCs w:val="24"/>
                <w:highlight w:val="none"/>
                <w:lang w:val="en-US" w:eastAsia="zh-CN"/>
              </w:rPr>
              <w:t>针对本条需求，投标人须完全响应并提供承诺函（格式自拟）并加盖投标人公章。</w:t>
            </w:r>
            <w:r>
              <w:rPr>
                <w:rFonts w:hint="eastAsia" w:ascii="宋体" w:hAnsi="宋体" w:eastAsia="宋体" w:cs="宋体"/>
                <w:szCs w:val="24"/>
                <w:highlight w:val="none"/>
                <w:lang w:eastAsia="zh-CN"/>
              </w:rPr>
              <w:t>）</w:t>
            </w:r>
          </w:p>
          <w:p w14:paraId="21582FDE">
            <w:pPr>
              <w:shd w:val="clear" w:color="auto" w:fill="FFFFFF"/>
              <w:spacing w:line="360" w:lineRule="auto"/>
              <w:ind w:firstLine="210" w:firstLineChars="100"/>
              <w:rPr>
                <w:rFonts w:ascii="宋体" w:hAnsi="宋体" w:eastAsia="宋体" w:cs="宋体"/>
                <w:b/>
                <w:bCs/>
                <w:color w:val="000000"/>
                <w:szCs w:val="21"/>
                <w:highlight w:val="none"/>
              </w:rPr>
            </w:pPr>
            <w:r>
              <w:rPr>
                <w:rFonts w:hint="eastAsia" w:ascii="宋体" w:hAnsi="宋体" w:eastAsia="宋体" w:cs="宋体"/>
                <w:color w:val="000000"/>
                <w:szCs w:val="21"/>
                <w:highlight w:val="none"/>
              </w:rPr>
              <w:t>▲1.10、投标人提供能及时获取并实施原厂系统安全性软硬件改版通知(FMI)能力的证明，保修期内免费提供设备（含独立工作站）的系统软件升级补丁和技术支持，保证所有系统软件为最新版本，</w:t>
            </w:r>
            <w:r>
              <w:rPr>
                <w:rFonts w:hint="eastAsia" w:ascii="宋体" w:hAnsi="宋体" w:eastAsia="宋体" w:cs="宋体"/>
                <w:b/>
                <w:bCs/>
                <w:color w:val="000000"/>
                <w:szCs w:val="21"/>
                <w:highlight w:val="none"/>
              </w:rPr>
              <w:t>投标人对此进行承诺</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提供承诺函，格式自拟</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w:t>
            </w:r>
          </w:p>
          <w:p w14:paraId="0DDBA4FD">
            <w:pPr>
              <w:spacing w:line="360" w:lineRule="auto"/>
              <w:ind w:firstLine="210" w:firstLineChars="100"/>
              <w:rPr>
                <w:rFonts w:ascii="宋体" w:hAnsi="宋体" w:eastAsia="宋体" w:cs="宋体"/>
                <w:b/>
                <w:bCs/>
                <w:szCs w:val="21"/>
                <w:highlight w:val="none"/>
              </w:rPr>
            </w:pPr>
            <w:r>
              <w:rPr>
                <w:rFonts w:hint="eastAsia" w:ascii="宋体" w:hAnsi="宋体" w:eastAsia="宋体" w:cs="宋体"/>
                <w:color w:val="000000"/>
                <w:szCs w:val="21"/>
                <w:highlight w:val="none"/>
              </w:rPr>
              <w:t>1.11、</w:t>
            </w:r>
            <w:r>
              <w:rPr>
                <w:rFonts w:hint="eastAsia" w:ascii="宋体" w:hAnsi="宋体" w:eastAsia="宋体" w:cs="宋体"/>
                <w:szCs w:val="21"/>
                <w:highlight w:val="none"/>
              </w:rPr>
              <w:t>投标人须提供行业</w:t>
            </w:r>
            <w:r>
              <w:rPr>
                <w:rFonts w:hint="eastAsia" w:ascii="宋体" w:hAnsi="宋体" w:eastAsia="宋体" w:cs="宋体"/>
                <w:strike w:val="0"/>
                <w:dstrike w:val="0"/>
                <w:szCs w:val="21"/>
                <w:highlight w:val="none"/>
              </w:rPr>
              <w:t>内</w:t>
            </w:r>
            <w:r>
              <w:rPr>
                <w:rFonts w:hint="eastAsia" w:ascii="宋体" w:hAnsi="宋体" w:eastAsia="宋体" w:cs="宋体"/>
                <w:szCs w:val="21"/>
                <w:highlight w:val="none"/>
              </w:rPr>
              <w:t>设备数字化解决方案服务（APM-IB），</w:t>
            </w:r>
            <w:r>
              <w:rPr>
                <w:rFonts w:hint="eastAsia" w:ascii="宋体" w:hAnsi="宋体" w:eastAsia="宋体" w:cs="宋体"/>
                <w:b/>
                <w:bCs/>
                <w:szCs w:val="21"/>
                <w:highlight w:val="none"/>
              </w:rPr>
              <w:t>投标人对此提供相关资料证明。</w:t>
            </w:r>
          </w:p>
          <w:p w14:paraId="4A7067B0">
            <w:pPr>
              <w:widowControl w:val="0"/>
              <w:spacing w:after="0" w:line="360" w:lineRule="auto"/>
              <w:ind w:firstLine="220" w:firstLineChars="100"/>
              <w:jc w:val="both"/>
              <w:rPr>
                <w:rFonts w:ascii="宋体" w:hAnsi="宋体" w:eastAsia="宋体" w:cs="宋体"/>
                <w:color w:val="000000"/>
                <w:kern w:val="0"/>
                <w:sz w:val="22"/>
                <w:szCs w:val="21"/>
                <w:highlight w:val="none"/>
                <w:lang w:val="en-US" w:eastAsia="zh-CN" w:bidi="ar-SA"/>
              </w:rPr>
            </w:pPr>
            <w:r>
              <w:rPr>
                <w:rFonts w:hint="eastAsia" w:ascii="宋体" w:hAnsi="宋体" w:eastAsia="宋体" w:cs="宋体"/>
                <w:color w:val="000000"/>
                <w:kern w:val="0"/>
                <w:sz w:val="22"/>
                <w:szCs w:val="21"/>
                <w:highlight w:val="none"/>
                <w:lang w:val="en-US" w:eastAsia="zh-CN" w:bidi="ar-SA"/>
              </w:rPr>
              <w:t>1.12投标人承诺在维保期内，确保设备符合国家质量计量标准</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提供承诺函，格式自拟</w:t>
            </w:r>
            <w:r>
              <w:rPr>
                <w:rFonts w:hint="eastAsia" w:ascii="宋体" w:hAnsi="宋体" w:eastAsia="宋体" w:cs="宋体"/>
                <w:b/>
                <w:bCs/>
                <w:color w:val="000000"/>
                <w:szCs w:val="21"/>
                <w:highlight w:val="none"/>
                <w:lang w:eastAsia="zh-CN"/>
              </w:rPr>
              <w:t>）</w:t>
            </w:r>
            <w:r>
              <w:rPr>
                <w:rFonts w:hint="eastAsia" w:ascii="宋体" w:hAnsi="宋体" w:eastAsia="宋体" w:cs="宋体"/>
                <w:color w:val="000000"/>
                <w:kern w:val="0"/>
                <w:sz w:val="22"/>
                <w:szCs w:val="21"/>
                <w:highlight w:val="none"/>
                <w:lang w:val="en-US" w:eastAsia="zh-CN" w:bidi="ar-SA"/>
              </w:rPr>
              <w:t>。</w:t>
            </w:r>
          </w:p>
          <w:p w14:paraId="1ECE29CA">
            <w:pPr>
              <w:widowControl w:val="0"/>
              <w:spacing w:after="0" w:line="360" w:lineRule="auto"/>
              <w:ind w:firstLine="240" w:firstLineChars="100"/>
              <w:jc w:val="both"/>
              <w:rPr>
                <w:rFonts w:hint="eastAsia" w:ascii="宋体" w:hAnsi="宋体" w:eastAsia="宋体" w:cs="宋体"/>
                <w:b/>
                <w:bCs/>
                <w:color w:val="000000"/>
                <w:kern w:val="0"/>
                <w:sz w:val="22"/>
                <w:szCs w:val="21"/>
                <w:highlight w:val="none"/>
                <w:lang w:val="en-US" w:eastAsia="zh-CN" w:bidi="ar-SA"/>
              </w:rPr>
            </w:pPr>
            <w:r>
              <w:rPr>
                <w:rFonts w:hint="eastAsia" w:ascii="宋体" w:hAnsi="宋体" w:eastAsia="宋体" w:cs="宋体"/>
                <w:kern w:val="2"/>
                <w:sz w:val="24"/>
                <w:szCs w:val="21"/>
                <w:highlight w:val="none"/>
                <w:lang w:val="en-US" w:eastAsia="zh-CN" w:bidi="ar-SA"/>
              </w:rPr>
              <w:t>★</w:t>
            </w:r>
            <w:r>
              <w:rPr>
                <w:rFonts w:hint="eastAsia" w:ascii="宋体" w:hAnsi="宋体" w:eastAsia="宋体" w:cs="宋体"/>
                <w:color w:val="000000"/>
                <w:kern w:val="0"/>
                <w:sz w:val="22"/>
                <w:szCs w:val="21"/>
                <w:highlight w:val="none"/>
                <w:lang w:val="en-US" w:eastAsia="zh-CN" w:bidi="ar-SA"/>
              </w:rPr>
              <w:t>1</w:t>
            </w:r>
            <w:r>
              <w:rPr>
                <w:rFonts w:ascii="宋体" w:hAnsi="宋体" w:eastAsia="宋体" w:cs="宋体"/>
                <w:color w:val="000000"/>
                <w:kern w:val="0"/>
                <w:sz w:val="22"/>
                <w:szCs w:val="21"/>
                <w:highlight w:val="none"/>
                <w:lang w:val="en-US" w:eastAsia="zh-CN" w:bidi="ar-SA"/>
              </w:rPr>
              <w:t xml:space="preserve">.13 </w:t>
            </w:r>
            <w:r>
              <w:rPr>
                <w:rFonts w:hint="eastAsia" w:ascii="宋体" w:hAnsi="宋体" w:eastAsia="宋体" w:cs="宋体"/>
                <w:color w:val="000000"/>
                <w:kern w:val="0"/>
                <w:sz w:val="22"/>
                <w:szCs w:val="21"/>
                <w:highlight w:val="none"/>
                <w:lang w:val="en-US" w:eastAsia="zh-CN" w:bidi="ar-SA"/>
              </w:rPr>
              <w:t>投标方或服务提供商须提供针对</w:t>
            </w:r>
            <w:r>
              <w:rPr>
                <w:rFonts w:hint="eastAsia" w:ascii="宋体" w:hAnsi="宋体" w:eastAsia="宋体" w:cs="Times New Roman"/>
                <w:sz w:val="24"/>
                <w:szCs w:val="24"/>
                <w:highlight w:val="none"/>
              </w:rPr>
              <w:t xml:space="preserve"> GE REVOLUTION CT</w:t>
            </w:r>
            <w:r>
              <w:rPr>
                <w:rFonts w:hint="eastAsia" w:ascii="宋体" w:hAnsi="宋体" w:eastAsia="宋体" w:cs="宋体"/>
                <w:color w:val="000000"/>
                <w:kern w:val="0"/>
                <w:sz w:val="22"/>
                <w:szCs w:val="21"/>
                <w:highlight w:val="none"/>
                <w:lang w:val="en-US" w:eastAsia="zh-CN" w:bidi="ar-SA"/>
              </w:rPr>
              <w:t>设备一站式快速脑卒中诊断方案，升级完软件及硬件后CT设备可扩大灌注采集范围，实现全脑灌注。</w:t>
            </w:r>
            <w:r>
              <w:rPr>
                <w:rFonts w:hint="eastAsia" w:ascii="宋体" w:hAnsi="宋体" w:eastAsia="宋体" w:cs="宋体"/>
                <w:b/>
                <w:bCs/>
                <w:color w:val="000000"/>
                <w:kern w:val="0"/>
                <w:sz w:val="22"/>
                <w:szCs w:val="21"/>
                <w:highlight w:val="none"/>
                <w:lang w:val="en-US" w:eastAsia="zh-CN" w:bidi="ar-SA"/>
              </w:rPr>
              <w:t>（</w:t>
            </w:r>
            <w:r>
              <w:rPr>
                <w:rFonts w:hint="eastAsia" w:ascii="Times New Roman" w:hAnsi="Times New Roman" w:eastAsia="宋体" w:cs="@仿宋_GB2312"/>
                <w:szCs w:val="20"/>
                <w:highlight w:val="none"/>
                <w:lang w:val="en-US" w:eastAsia="zh-CN"/>
              </w:rPr>
              <w:t>投标人提供承诺函</w:t>
            </w:r>
            <w:r>
              <w:rPr>
                <w:rFonts w:hint="eastAsia" w:ascii="宋体" w:hAnsi="宋体" w:eastAsia="宋体" w:cs="宋体"/>
                <w:b/>
                <w:bCs/>
                <w:color w:val="000000"/>
                <w:kern w:val="0"/>
                <w:sz w:val="22"/>
                <w:szCs w:val="21"/>
                <w:highlight w:val="none"/>
                <w:lang w:val="en-US" w:eastAsia="zh-CN" w:bidi="ar-SA"/>
              </w:rPr>
              <w:t>）。</w:t>
            </w:r>
          </w:p>
          <w:p w14:paraId="4E9AB602">
            <w:pPr>
              <w:widowControl w:val="0"/>
              <w:spacing w:after="0" w:line="360" w:lineRule="auto"/>
              <w:ind w:firstLine="210" w:firstLineChars="100"/>
              <w:jc w:val="both"/>
              <w:rPr>
                <w:rFonts w:ascii="宋体" w:hAnsi="Times New Roman" w:eastAsia="宋体" w:cs="@仿宋_GB2312"/>
                <w:szCs w:val="20"/>
                <w:highlight w:val="none"/>
              </w:rPr>
            </w:pPr>
            <w:r>
              <w:rPr>
                <w:rFonts w:hint="eastAsia" w:ascii="宋体" w:hAnsi="Times New Roman" w:eastAsia="宋体" w:cs="@仿宋_GB2312"/>
                <w:szCs w:val="20"/>
                <w:highlight w:val="none"/>
              </w:rPr>
              <w:t>1.14提供原厂专业的临床操作培训和设备维护维修培训具体培训时间由采购人确定（投标人提供承诺函）</w:t>
            </w:r>
          </w:p>
          <w:p w14:paraId="2C9FA8D4">
            <w:pPr>
              <w:widowControl w:val="0"/>
              <w:spacing w:after="0" w:line="360" w:lineRule="auto"/>
              <w:ind w:firstLine="210" w:firstLineChars="100"/>
              <w:jc w:val="both"/>
              <w:rPr>
                <w:rFonts w:hint="eastAsia" w:ascii="宋体" w:hAnsi="Times New Roman" w:eastAsia="宋体" w:cs="@仿宋_GB2312"/>
                <w:szCs w:val="20"/>
                <w:lang w:eastAsia="zh-CN"/>
              </w:rPr>
            </w:pPr>
            <w:r>
              <w:rPr>
                <w:rFonts w:hint="eastAsia" w:ascii="宋体" w:hAnsi="Times New Roman" w:eastAsia="宋体" w:cs="@仿宋_GB2312"/>
                <w:szCs w:val="20"/>
              </w:rPr>
              <w:t>1.15考核标准</w:t>
            </w:r>
            <w:r>
              <w:rPr>
                <w:rFonts w:hint="eastAsia" w:ascii="宋体" w:hAnsi="Times New Roman" w:eastAsia="宋体" w:cs="@仿宋_GB2312"/>
                <w:szCs w:val="20"/>
                <w:lang w:eastAsia="zh-CN"/>
              </w:rPr>
              <w:t>（</w:t>
            </w:r>
            <w:r>
              <w:rPr>
                <w:rFonts w:hint="eastAsia" w:ascii="宋体" w:hAnsi="Times New Roman" w:eastAsia="宋体" w:cs="@仿宋_GB2312"/>
                <w:szCs w:val="20"/>
                <w:lang w:val="en-US" w:eastAsia="zh-CN"/>
              </w:rPr>
              <w:t>详见附件</w:t>
            </w:r>
            <w:r>
              <w:rPr>
                <w:rFonts w:hint="eastAsia" w:ascii="宋体" w:hAnsi="Times New Roman" w:eastAsia="宋体" w:cs="@仿宋_GB2312"/>
                <w:szCs w:val="20"/>
                <w:lang w:eastAsia="zh-CN"/>
              </w:rPr>
              <w:t>）</w:t>
            </w:r>
          </w:p>
          <w:p w14:paraId="5B1F280E">
            <w:pPr>
              <w:widowControl w:val="0"/>
              <w:spacing w:after="0" w:line="360" w:lineRule="auto"/>
              <w:ind w:firstLine="210" w:firstLineChars="100"/>
              <w:jc w:val="both"/>
              <w:rPr>
                <w:rFonts w:ascii="宋体" w:hAnsi="Times New Roman" w:eastAsia="宋体" w:cs="@仿宋_GB2312"/>
                <w:szCs w:val="20"/>
              </w:rPr>
            </w:pPr>
            <w:r>
              <w:rPr>
                <w:rFonts w:hint="eastAsia" w:ascii="宋体" w:hAnsi="Times New Roman" w:eastAsia="宋体" w:cs="@仿宋_GB2312"/>
                <w:szCs w:val="20"/>
              </w:rPr>
              <w:t>▲1.16针对本项目提供不少于2名CT专业维修工程师，（提供工程师名单、联系方式及原厂颁发的维保设备工程师培训合格证书）</w:t>
            </w:r>
          </w:p>
        </w:tc>
      </w:tr>
    </w:tbl>
    <w:p w14:paraId="3B9A6B95">
      <w:pPr>
        <w:widowControl w:val="0"/>
        <w:spacing w:after="0" w:line="360" w:lineRule="auto"/>
        <w:ind w:firstLine="0" w:firstLineChars="0"/>
        <w:jc w:val="both"/>
        <w:rPr>
          <w:rFonts w:hint="eastAsia" w:ascii="宋体" w:hAnsi="Times New Roman" w:eastAsia="宋体" w:cs="@仿宋_GB2312"/>
          <w:szCs w:val="20"/>
          <w:lang w:val="en-US" w:eastAsia="zh-CN"/>
        </w:rPr>
      </w:pPr>
    </w:p>
    <w:p w14:paraId="15FF4984">
      <w:pPr>
        <w:keepNext/>
        <w:keepLines/>
        <w:widowControl w:val="0"/>
        <w:adjustRightInd w:val="0"/>
        <w:snapToGrid w:val="0"/>
        <w:spacing w:before="120" w:beforeLines="50" w:line="360" w:lineRule="auto"/>
        <w:jc w:val="both"/>
        <w:outlineLvl w:val="1"/>
        <w:rPr>
          <w:rStyle w:val="13"/>
          <w:rFonts w:hint="eastAsia" w:ascii="Cambria Math" w:hAnsi="微软雅黑" w:eastAsia="Cambria Math" w:cs="Times New Roman"/>
          <w:kern w:val="2"/>
          <w:sz w:val="32"/>
          <w:szCs w:val="22"/>
          <w:lang w:val="en-US" w:eastAsia="zh-CN" w:bidi="ar-SA"/>
        </w:rPr>
      </w:pPr>
      <w:r>
        <w:rPr>
          <w:rStyle w:val="13"/>
          <w:rFonts w:hint="eastAsia" w:ascii="Cambria Math" w:hAnsi="微软雅黑" w:eastAsia="Cambria Math" w:cs="Times New Roman"/>
          <w:kern w:val="2"/>
          <w:sz w:val="32"/>
          <w:szCs w:val="22"/>
          <w:lang w:val="en-US" w:eastAsia="zh-CN" w:bidi="ar-SA"/>
        </w:rPr>
        <w:br w:type="page"/>
      </w:r>
      <w:bookmarkStart w:id="12" w:name="_Toc256000018"/>
      <w:bookmarkStart w:id="13" w:name="_Toc256000041"/>
      <w:bookmarkStart w:id="14" w:name="_Toc1861"/>
      <w:r>
        <w:rPr>
          <w:rStyle w:val="13"/>
          <w:rFonts w:hint="eastAsia" w:ascii="Cambria Math" w:hAnsi="微软雅黑" w:eastAsia="Cambria Math" w:cs="Times New Roman"/>
          <w:kern w:val="2"/>
          <w:sz w:val="32"/>
          <w:szCs w:val="22"/>
          <w:lang w:val="en-US" w:eastAsia="zh-CN" w:bidi="ar-SA"/>
        </w:rPr>
        <w:t>附件：</w:t>
      </w:r>
      <w:bookmarkEnd w:id="12"/>
    </w:p>
    <w:p w14:paraId="332C24D0">
      <w:pPr>
        <w:keepNext/>
        <w:keepLines/>
        <w:widowControl w:val="0"/>
        <w:adjustRightInd w:val="0"/>
        <w:snapToGrid w:val="0"/>
        <w:spacing w:before="120" w:beforeLines="50" w:line="360" w:lineRule="auto"/>
        <w:jc w:val="center"/>
        <w:outlineLvl w:val="1"/>
        <w:rPr>
          <w:rFonts w:hint="default" w:ascii="黑体" w:hAnsi="黑体" w:eastAsia="黑体" w:cs="Times New Roman"/>
          <w:b/>
          <w:bCs/>
          <w:kern w:val="2"/>
          <w:sz w:val="28"/>
          <w:szCs w:val="28"/>
          <w:highlight w:val="none"/>
          <w:lang w:val="en-US" w:eastAsia="zh-CN" w:bidi="ar-SA"/>
        </w:rPr>
      </w:pPr>
      <w:bookmarkStart w:id="15" w:name="_Toc256000019"/>
      <w:r>
        <w:rPr>
          <w:rFonts w:hint="eastAsia" w:ascii="黑体" w:hAnsi="黑体" w:eastAsia="黑体" w:cs="Times New Roman"/>
          <w:b/>
          <w:bCs/>
          <w:kern w:val="2"/>
          <w:sz w:val="28"/>
          <w:szCs w:val="28"/>
          <w:highlight w:val="none"/>
          <w:lang w:val="en-US" w:eastAsia="zh-CN" w:bidi="ar-SA"/>
        </w:rPr>
        <w:t>考 核 标 准</w:t>
      </w:r>
      <w:bookmarkEnd w:id="13"/>
      <w:bookmarkEnd w:id="14"/>
      <w:bookmarkEnd w:id="15"/>
    </w:p>
    <w:tbl>
      <w:tblPr>
        <w:tblStyle w:val="12"/>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4150"/>
        <w:gridCol w:w="740"/>
        <w:gridCol w:w="1036"/>
        <w:gridCol w:w="1235"/>
      </w:tblGrid>
      <w:tr w14:paraId="6D64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29" w:type="dxa"/>
            <w:gridSpan w:val="5"/>
            <w:noWrap w:val="0"/>
            <w:vAlign w:val="center"/>
          </w:tcPr>
          <w:p w14:paraId="4909C3E5">
            <w:pPr>
              <w:keepNext w:val="0"/>
              <w:keepLines w:val="0"/>
              <w:widowControl/>
              <w:suppressLineNumbers w:val="0"/>
              <w:jc w:val="center"/>
              <w:textAlignment w:val="center"/>
              <w:rPr>
                <w:rFonts w:hint="eastAsia" w:ascii="宋体" w:hAnsi="宋体" w:eastAsia="宋体" w:cs="宋体"/>
                <w:b/>
                <w:bCs/>
                <w:i w:val="0"/>
                <w:iCs w:val="0"/>
                <w:color w:val="000000"/>
                <w:kern w:val="2"/>
                <w:sz w:val="36"/>
                <w:szCs w:val="36"/>
                <w:u w:val="none"/>
                <w:lang w:val="en-US" w:eastAsia="zh-CN" w:bidi="ar-SA"/>
              </w:rPr>
            </w:pPr>
            <w:r>
              <w:rPr>
                <w:rFonts w:hint="eastAsia" w:ascii="宋体" w:hAnsi="宋体" w:eastAsia="宋体" w:cs="宋体"/>
                <w:b/>
                <w:bCs/>
                <w:i w:val="0"/>
                <w:iCs w:val="0"/>
                <w:color w:val="000000"/>
                <w:kern w:val="0"/>
                <w:sz w:val="36"/>
                <w:szCs w:val="36"/>
                <w:u w:val="none"/>
                <w:lang w:val="en-US" w:eastAsia="zh-CN" w:bidi="ar"/>
              </w:rPr>
              <w:t>考核评分表</w:t>
            </w:r>
          </w:p>
        </w:tc>
      </w:tr>
      <w:tr w14:paraId="4CCD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8" w:type="dxa"/>
            <w:noWrap w:val="0"/>
            <w:vAlign w:val="center"/>
          </w:tcPr>
          <w:p w14:paraId="3B72C3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考核时间</w:t>
            </w:r>
          </w:p>
        </w:tc>
        <w:tc>
          <w:tcPr>
            <w:tcW w:w="7161" w:type="dxa"/>
            <w:gridSpan w:val="4"/>
            <w:noWrap w:val="0"/>
            <w:vAlign w:val="center"/>
          </w:tcPr>
          <w:p w14:paraId="0530A96E">
            <w:pPr>
              <w:widowControl w:val="0"/>
              <w:ind w:firstLine="1100" w:firstLineChars="500"/>
              <w:jc w:val="both"/>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每半年一周期对应付款周期</w:t>
            </w:r>
          </w:p>
        </w:tc>
      </w:tr>
      <w:tr w14:paraId="537F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68" w:type="dxa"/>
            <w:vMerge w:val="restart"/>
            <w:noWrap w:val="0"/>
            <w:vAlign w:val="center"/>
          </w:tcPr>
          <w:p w14:paraId="382446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4150" w:type="dxa"/>
            <w:vMerge w:val="restart"/>
            <w:noWrap w:val="0"/>
            <w:vAlign w:val="center"/>
          </w:tcPr>
          <w:p w14:paraId="4F348E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3011" w:type="dxa"/>
            <w:gridSpan w:val="3"/>
            <w:noWrap w:val="0"/>
            <w:vAlign w:val="center"/>
          </w:tcPr>
          <w:p w14:paraId="5651F6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满意程度评分</w:t>
            </w:r>
          </w:p>
        </w:tc>
      </w:tr>
      <w:tr w14:paraId="28FD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8" w:type="dxa"/>
            <w:vMerge w:val="continue"/>
            <w:noWrap w:val="0"/>
            <w:vAlign w:val="center"/>
          </w:tcPr>
          <w:p w14:paraId="427A7678">
            <w:pPr>
              <w:widowControl w:val="0"/>
              <w:jc w:val="center"/>
              <w:rPr>
                <w:rFonts w:hint="eastAsia" w:ascii="宋体" w:hAnsi="宋体" w:eastAsia="宋体" w:cs="宋体"/>
                <w:i w:val="0"/>
                <w:iCs w:val="0"/>
                <w:color w:val="000000"/>
                <w:kern w:val="2"/>
                <w:sz w:val="22"/>
                <w:szCs w:val="22"/>
                <w:u w:val="none"/>
                <w:lang w:val="en-US" w:eastAsia="zh-CN" w:bidi="ar-SA"/>
              </w:rPr>
            </w:pPr>
          </w:p>
        </w:tc>
        <w:tc>
          <w:tcPr>
            <w:tcW w:w="4150" w:type="dxa"/>
            <w:vMerge w:val="continue"/>
            <w:noWrap w:val="0"/>
            <w:vAlign w:val="center"/>
          </w:tcPr>
          <w:p w14:paraId="05C9679D">
            <w:pPr>
              <w:widowControl w:val="0"/>
              <w:jc w:val="center"/>
              <w:rPr>
                <w:rFonts w:hint="eastAsia" w:ascii="宋体" w:hAnsi="宋体" w:eastAsia="宋体" w:cs="宋体"/>
                <w:i w:val="0"/>
                <w:iCs w:val="0"/>
                <w:color w:val="000000"/>
                <w:kern w:val="2"/>
                <w:sz w:val="22"/>
                <w:szCs w:val="22"/>
                <w:u w:val="none"/>
                <w:lang w:val="en-US" w:eastAsia="zh-CN" w:bidi="ar-SA"/>
              </w:rPr>
            </w:pPr>
          </w:p>
        </w:tc>
        <w:tc>
          <w:tcPr>
            <w:tcW w:w="740" w:type="dxa"/>
            <w:noWrap w:val="0"/>
            <w:vAlign w:val="center"/>
          </w:tcPr>
          <w:p w14:paraId="574A8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总分</w:t>
            </w:r>
          </w:p>
        </w:tc>
        <w:tc>
          <w:tcPr>
            <w:tcW w:w="1036" w:type="dxa"/>
            <w:noWrap w:val="0"/>
            <w:vAlign w:val="center"/>
          </w:tcPr>
          <w:p w14:paraId="72E33A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得分</w:t>
            </w:r>
          </w:p>
        </w:tc>
        <w:tc>
          <w:tcPr>
            <w:tcW w:w="1235" w:type="dxa"/>
            <w:noWrap w:val="0"/>
            <w:vAlign w:val="center"/>
          </w:tcPr>
          <w:p w14:paraId="21D78B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备注</w:t>
            </w:r>
          </w:p>
        </w:tc>
      </w:tr>
      <w:tr w14:paraId="7D37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049ED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150" w:type="dxa"/>
            <w:noWrap w:val="0"/>
            <w:vAlign w:val="center"/>
          </w:tcPr>
          <w:p w14:paraId="187AAAE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供全年24小时×365天报修电话随时在线响应。若采购人设备发生故障，维修工程师电话响应时间≤2小时，电话无法解决的，中标人派工程师到达现场时间≤24小时。中标人在48小时内仍无法解决问题，应采取应急措施解决，不得影响采购人的正常工作业务。每逾期一次一次扣0.5分。</w:t>
            </w:r>
          </w:p>
        </w:tc>
        <w:tc>
          <w:tcPr>
            <w:tcW w:w="740" w:type="dxa"/>
            <w:noWrap w:val="0"/>
            <w:vAlign w:val="center"/>
          </w:tcPr>
          <w:p w14:paraId="6DF59C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36" w:type="dxa"/>
            <w:noWrap w:val="0"/>
            <w:vAlign w:val="center"/>
          </w:tcPr>
          <w:p w14:paraId="08BF6840">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0234D434">
            <w:pPr>
              <w:widowControl w:val="0"/>
              <w:jc w:val="center"/>
              <w:rPr>
                <w:rFonts w:hint="eastAsia" w:ascii="宋体" w:hAnsi="宋体" w:eastAsia="宋体" w:cs="宋体"/>
                <w:i w:val="0"/>
                <w:iCs w:val="0"/>
                <w:color w:val="000000"/>
                <w:kern w:val="2"/>
                <w:sz w:val="22"/>
                <w:szCs w:val="22"/>
                <w:u w:val="none"/>
                <w:lang w:val="en-US" w:eastAsia="zh-CN" w:bidi="ar-SA"/>
              </w:rPr>
            </w:pPr>
          </w:p>
        </w:tc>
      </w:tr>
      <w:tr w14:paraId="0CB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039FF6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150" w:type="dxa"/>
            <w:noWrap w:val="0"/>
            <w:vAlign w:val="center"/>
          </w:tcPr>
          <w:p w14:paraId="2EE95CA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保证开机率在95%以上，365*0.5*0.95=173.37，暨半年度开机达到173.37天，未达标扣2分</w:t>
            </w:r>
          </w:p>
        </w:tc>
        <w:tc>
          <w:tcPr>
            <w:tcW w:w="740" w:type="dxa"/>
            <w:noWrap w:val="0"/>
            <w:vAlign w:val="center"/>
          </w:tcPr>
          <w:p w14:paraId="5120BA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36" w:type="dxa"/>
            <w:noWrap w:val="0"/>
            <w:vAlign w:val="center"/>
          </w:tcPr>
          <w:p w14:paraId="066D700E">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4A25FCC1">
            <w:pPr>
              <w:widowControl w:val="0"/>
              <w:jc w:val="center"/>
              <w:rPr>
                <w:rFonts w:hint="eastAsia" w:ascii="宋体" w:hAnsi="宋体" w:eastAsia="宋体" w:cs="宋体"/>
                <w:i w:val="0"/>
                <w:iCs w:val="0"/>
                <w:color w:val="000000"/>
                <w:kern w:val="2"/>
                <w:sz w:val="22"/>
                <w:szCs w:val="22"/>
                <w:u w:val="none"/>
                <w:lang w:val="en-US" w:eastAsia="zh-CN" w:bidi="ar-SA"/>
              </w:rPr>
            </w:pPr>
          </w:p>
        </w:tc>
      </w:tr>
      <w:tr w14:paraId="3C33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569B95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4150" w:type="dxa"/>
            <w:noWrap w:val="0"/>
            <w:vAlign w:val="center"/>
          </w:tcPr>
          <w:p w14:paraId="46ADEC1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按计划要求完成定期保养服务，并出具保养服务报告归档，半年度保养两次，每次间隔时间2个月以上。缺少一次扣0.5分。</w:t>
            </w:r>
          </w:p>
        </w:tc>
        <w:tc>
          <w:tcPr>
            <w:tcW w:w="740" w:type="dxa"/>
            <w:noWrap w:val="0"/>
            <w:vAlign w:val="center"/>
          </w:tcPr>
          <w:p w14:paraId="7E187F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36" w:type="dxa"/>
            <w:noWrap w:val="0"/>
            <w:vAlign w:val="center"/>
          </w:tcPr>
          <w:p w14:paraId="2EFEDD73">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7CBFE3AD">
            <w:pPr>
              <w:widowControl w:val="0"/>
              <w:jc w:val="center"/>
              <w:rPr>
                <w:rFonts w:hint="eastAsia" w:ascii="宋体" w:hAnsi="宋体" w:eastAsia="宋体" w:cs="宋体"/>
                <w:i w:val="0"/>
                <w:iCs w:val="0"/>
                <w:color w:val="000000"/>
                <w:kern w:val="2"/>
                <w:sz w:val="22"/>
                <w:szCs w:val="22"/>
                <w:u w:val="none"/>
                <w:lang w:val="en-US" w:eastAsia="zh-CN" w:bidi="ar-SA"/>
              </w:rPr>
            </w:pPr>
          </w:p>
        </w:tc>
      </w:tr>
      <w:tr w14:paraId="3B87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2173D2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150" w:type="dxa"/>
            <w:noWrap w:val="0"/>
            <w:vAlign w:val="center"/>
          </w:tcPr>
          <w:p w14:paraId="26E689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因设备维修原因造成的临床科室和病患投诉，投诉一次扣0.5分。</w:t>
            </w:r>
          </w:p>
        </w:tc>
        <w:tc>
          <w:tcPr>
            <w:tcW w:w="740" w:type="dxa"/>
            <w:noWrap w:val="0"/>
            <w:vAlign w:val="center"/>
          </w:tcPr>
          <w:p w14:paraId="5F9C90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36" w:type="dxa"/>
            <w:noWrap w:val="0"/>
            <w:vAlign w:val="center"/>
          </w:tcPr>
          <w:p w14:paraId="0BA8C97F">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7344074F">
            <w:pPr>
              <w:widowControl w:val="0"/>
              <w:jc w:val="center"/>
              <w:rPr>
                <w:rFonts w:hint="eastAsia" w:ascii="宋体" w:hAnsi="宋体" w:eastAsia="宋体" w:cs="宋体"/>
                <w:i w:val="0"/>
                <w:iCs w:val="0"/>
                <w:color w:val="000000"/>
                <w:kern w:val="2"/>
                <w:sz w:val="22"/>
                <w:szCs w:val="22"/>
                <w:u w:val="none"/>
                <w:lang w:val="en-US" w:eastAsia="zh-CN" w:bidi="ar-SA"/>
              </w:rPr>
            </w:pPr>
          </w:p>
        </w:tc>
      </w:tr>
      <w:tr w14:paraId="6609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31EC2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50" w:type="dxa"/>
            <w:noWrap w:val="0"/>
            <w:vAlign w:val="center"/>
          </w:tcPr>
          <w:p w14:paraId="4597AD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2"/>
                <w:sz w:val="21"/>
                <w:szCs w:val="21"/>
                <w:highlight w:val="none"/>
                <w:lang w:val="en-US" w:eastAsia="zh-CN" w:bidi="ar-SA"/>
              </w:rPr>
              <w:t>备件响应时间：需要更换零备件，国内仓库24小时内到货，</w:t>
            </w:r>
            <w:r>
              <w:rPr>
                <w:rFonts w:hint="eastAsia" w:ascii="宋体" w:hAnsi="宋体" w:eastAsia="宋体" w:cs="宋体"/>
                <w:i w:val="0"/>
                <w:iCs w:val="0"/>
                <w:color w:val="000000"/>
                <w:kern w:val="0"/>
                <w:sz w:val="21"/>
                <w:szCs w:val="21"/>
                <w:u w:val="none"/>
                <w:lang w:val="en-US" w:eastAsia="zh-CN" w:bidi="ar"/>
              </w:rPr>
              <w:t>每逾期一次一次扣0.5分。</w:t>
            </w:r>
            <w:r>
              <w:rPr>
                <w:rFonts w:hint="eastAsia" w:ascii="宋体" w:hAnsi="宋体" w:eastAsia="宋体" w:cs="宋体"/>
                <w:color w:val="auto"/>
                <w:kern w:val="2"/>
                <w:sz w:val="21"/>
                <w:szCs w:val="21"/>
                <w:highlight w:val="none"/>
                <w:lang w:val="en-US" w:eastAsia="zh-CN" w:bidi="ar-SA"/>
              </w:rPr>
              <w:t>超过2次</w:t>
            </w:r>
            <w:r>
              <w:rPr>
                <w:rFonts w:hint="eastAsia" w:ascii="宋体" w:hAnsi="宋体" w:eastAsia="宋体" w:cs="宋体"/>
                <w:i w:val="0"/>
                <w:iCs w:val="0"/>
                <w:color w:val="000000"/>
                <w:kern w:val="0"/>
                <w:sz w:val="21"/>
                <w:szCs w:val="21"/>
                <w:u w:val="none"/>
                <w:lang w:val="en-US" w:eastAsia="zh-CN" w:bidi="ar"/>
              </w:rPr>
              <w:t>院方有权终止合同。</w:t>
            </w:r>
          </w:p>
        </w:tc>
        <w:tc>
          <w:tcPr>
            <w:tcW w:w="740" w:type="dxa"/>
            <w:noWrap w:val="0"/>
            <w:vAlign w:val="center"/>
          </w:tcPr>
          <w:p w14:paraId="4936A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6" w:type="dxa"/>
            <w:noWrap w:val="0"/>
            <w:vAlign w:val="center"/>
          </w:tcPr>
          <w:p w14:paraId="4DD24547">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73026B0C">
            <w:pPr>
              <w:widowControl w:val="0"/>
              <w:jc w:val="center"/>
              <w:rPr>
                <w:rFonts w:hint="eastAsia" w:ascii="宋体" w:hAnsi="宋体" w:eastAsia="宋体" w:cs="宋体"/>
                <w:i w:val="0"/>
                <w:iCs w:val="0"/>
                <w:color w:val="000000"/>
                <w:kern w:val="2"/>
                <w:sz w:val="22"/>
                <w:szCs w:val="22"/>
                <w:u w:val="none"/>
                <w:lang w:val="en-US" w:eastAsia="zh-CN" w:bidi="ar-SA"/>
              </w:rPr>
            </w:pPr>
          </w:p>
        </w:tc>
      </w:tr>
      <w:tr w14:paraId="4C11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68" w:type="dxa"/>
            <w:noWrap w:val="0"/>
            <w:vAlign w:val="center"/>
          </w:tcPr>
          <w:p w14:paraId="3F241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150" w:type="dxa"/>
            <w:noWrap w:val="0"/>
            <w:vAlign w:val="center"/>
          </w:tcPr>
          <w:p w14:paraId="5C62E4A6">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备件响应时间：更换进口备件，投标人须提供备件的报关单扫描件。如不提供，每次扣2分，超过2次</w:t>
            </w:r>
            <w:r>
              <w:rPr>
                <w:rFonts w:hint="eastAsia" w:ascii="宋体" w:hAnsi="宋体" w:eastAsia="宋体" w:cs="宋体"/>
                <w:i w:val="0"/>
                <w:iCs w:val="0"/>
                <w:color w:val="000000"/>
                <w:kern w:val="0"/>
                <w:sz w:val="21"/>
                <w:szCs w:val="21"/>
                <w:u w:val="none"/>
                <w:lang w:val="en-US" w:eastAsia="zh-CN" w:bidi="ar"/>
              </w:rPr>
              <w:t>院方有权终止合同。</w:t>
            </w:r>
          </w:p>
        </w:tc>
        <w:tc>
          <w:tcPr>
            <w:tcW w:w="740" w:type="dxa"/>
            <w:noWrap w:val="0"/>
            <w:vAlign w:val="center"/>
          </w:tcPr>
          <w:p w14:paraId="6959E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6" w:type="dxa"/>
            <w:noWrap w:val="0"/>
            <w:vAlign w:val="center"/>
          </w:tcPr>
          <w:p w14:paraId="3EDE929C">
            <w:pPr>
              <w:widowControl w:val="0"/>
              <w:jc w:val="center"/>
              <w:rPr>
                <w:rFonts w:hint="eastAsia" w:ascii="宋体" w:hAnsi="宋体" w:eastAsia="宋体" w:cs="宋体"/>
                <w:i w:val="0"/>
                <w:iCs w:val="0"/>
                <w:color w:val="000000"/>
                <w:kern w:val="2"/>
                <w:sz w:val="22"/>
                <w:szCs w:val="22"/>
                <w:u w:val="none"/>
                <w:lang w:val="en-US" w:eastAsia="zh-CN" w:bidi="ar-SA"/>
              </w:rPr>
            </w:pPr>
          </w:p>
        </w:tc>
        <w:tc>
          <w:tcPr>
            <w:tcW w:w="1235" w:type="dxa"/>
            <w:noWrap w:val="0"/>
            <w:vAlign w:val="center"/>
          </w:tcPr>
          <w:p w14:paraId="629F0C6A">
            <w:pPr>
              <w:widowControl w:val="0"/>
              <w:jc w:val="center"/>
              <w:rPr>
                <w:rFonts w:hint="eastAsia" w:ascii="宋体" w:hAnsi="宋体" w:eastAsia="宋体" w:cs="宋体"/>
                <w:i w:val="0"/>
                <w:iCs w:val="0"/>
                <w:color w:val="000000"/>
                <w:kern w:val="2"/>
                <w:sz w:val="22"/>
                <w:szCs w:val="22"/>
                <w:u w:val="none"/>
                <w:lang w:val="en-US" w:eastAsia="zh-CN" w:bidi="ar-SA"/>
              </w:rPr>
            </w:pPr>
          </w:p>
        </w:tc>
      </w:tr>
      <w:tr w14:paraId="001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9" w:type="dxa"/>
            <w:gridSpan w:val="5"/>
            <w:noWrap w:val="0"/>
            <w:vAlign w:val="bottom"/>
          </w:tcPr>
          <w:p w14:paraId="2B9D206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考核评分9分及以上不做扣罚，9分以下每下降一分，扣罚同期维保款的10%，扣罚达4分，院方有权终止合同</w:t>
            </w:r>
          </w:p>
        </w:tc>
      </w:tr>
    </w:tbl>
    <w:p w14:paraId="27428731">
      <w:pPr>
        <w:widowControl w:val="0"/>
        <w:spacing w:after="0"/>
        <w:ind w:left="0" w:leftChars="0" w:firstLine="420"/>
        <w:jc w:val="both"/>
        <w:rPr>
          <w:rStyle w:val="13"/>
          <w:rFonts w:hint="eastAsia" w:ascii="Cambria Math" w:hAnsi="微软雅黑" w:eastAsia="Cambria Math" w:cs="Times New Roman"/>
          <w:kern w:val="2"/>
          <w:sz w:val="32"/>
          <w:szCs w:val="22"/>
          <w:lang w:val="en-US" w:eastAsia="zh-CN" w:bidi="ar-SA"/>
        </w:rPr>
      </w:pPr>
    </w:p>
    <w:p w14:paraId="0C883B7A">
      <w:pPr>
        <w:widowControl w:val="0"/>
        <w:adjustRightInd w:val="0"/>
        <w:snapToGrid w:val="0"/>
        <w:spacing w:line="360" w:lineRule="auto"/>
        <w:jc w:val="center"/>
        <w:outlineLvl w:val="1"/>
        <w:rPr>
          <w:rStyle w:val="13"/>
          <w:rFonts w:ascii="宋体" w:hAnsi="Courier New" w:eastAsia="宋体" w:cs="Courier New"/>
          <w:kern w:val="2"/>
          <w:sz w:val="21"/>
          <w:szCs w:val="21"/>
          <w:highlight w:val="none"/>
          <w:lang w:val="en-US" w:eastAsia="zh-CN" w:bidi="ar-SA"/>
        </w:rPr>
      </w:pPr>
      <w:bookmarkStart w:id="16" w:name="_Toc15311"/>
      <w:r>
        <w:rPr>
          <w:rStyle w:val="13"/>
          <w:rFonts w:hint="eastAsia" w:ascii="黑体" w:hAnsi="华文中宋" w:eastAsia="黑体" w:cs="Times New Roman"/>
          <w:b/>
          <w:kern w:val="2"/>
          <w:sz w:val="32"/>
          <w:szCs w:val="32"/>
          <w:highlight w:val="none"/>
          <w:lang w:val="en-US" w:eastAsia="zh-CN" w:bidi="ar-SA"/>
        </w:rPr>
        <w:br w:type="page"/>
      </w:r>
      <w:bookmarkStart w:id="17" w:name="_Toc256000020"/>
      <w:r>
        <w:rPr>
          <w:rStyle w:val="13"/>
          <w:rFonts w:hint="eastAsia" w:ascii="黑体" w:hAnsi="华文中宋" w:eastAsia="黑体" w:cs="Times New Roman"/>
          <w:b/>
          <w:kern w:val="2"/>
          <w:sz w:val="32"/>
          <w:szCs w:val="32"/>
          <w:highlight w:val="none"/>
          <w:lang w:val="en-US" w:eastAsia="zh-CN" w:bidi="ar-SA"/>
        </w:rPr>
        <w:t>第三节 商务要求</w:t>
      </w:r>
      <w:bookmarkEnd w:id="8"/>
      <w:bookmarkEnd w:id="16"/>
      <w:bookmarkEnd w:id="17"/>
    </w:p>
    <w:p w14:paraId="15A2D216">
      <w:pPr>
        <w:widowControl/>
        <w:spacing w:before="240" w:after="240"/>
        <w:jc w:val="left"/>
        <w:rPr>
          <w:rStyle w:val="13"/>
          <w:rFonts w:ascii="宋体" w:hAnsi="宋体" w:eastAsia="宋体" w:cs="宋体"/>
          <w:spacing w:val="30"/>
          <w:kern w:val="0"/>
          <w:sz w:val="21"/>
          <w:szCs w:val="21"/>
          <w:highlight w:val="none"/>
          <w:lang w:val="en-US" w:eastAsia="zh-CN" w:bidi="ar-SA"/>
        </w:rPr>
      </w:pPr>
      <w:r>
        <w:rPr>
          <w:rStyle w:val="13"/>
          <w:rFonts w:ascii="宋体" w:hAnsi="宋体" w:eastAsia="宋体" w:cs="宋体"/>
          <w:spacing w:val="30"/>
          <w:kern w:val="0"/>
          <w:sz w:val="21"/>
          <w:szCs w:val="21"/>
          <w:highlight w:val="none"/>
          <w:lang w:val="en-US" w:eastAsia="zh-CN" w:bidi="ar-SA"/>
        </w:rPr>
        <w:t>一、主要商务要求</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49"/>
        <w:gridCol w:w="6373"/>
      </w:tblGrid>
      <w:tr w14:paraId="1982D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61" w:type="pct"/>
            <w:noWrap w:val="0"/>
            <w:vAlign w:val="center"/>
          </w:tcPr>
          <w:p w14:paraId="6E6C6BF8">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 xml:space="preserve">甲方名称、地址 </w:t>
            </w:r>
          </w:p>
        </w:tc>
        <w:tc>
          <w:tcPr>
            <w:tcW w:w="3739" w:type="pct"/>
            <w:noWrap w:val="0"/>
            <w:vAlign w:val="center"/>
          </w:tcPr>
          <w:p w14:paraId="38875433">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u w:val="single"/>
                <w:lang w:val="en-US" w:eastAsia="zh-CN" w:bidi="ar-SA"/>
              </w:rPr>
            </w:pPr>
            <w:r>
              <w:rPr>
                <w:rStyle w:val="13"/>
                <w:rFonts w:hint="eastAsia" w:ascii="宋体" w:hAnsi="宋体" w:eastAsia="宋体" w:cs="宋体"/>
                <w:spacing w:val="30"/>
                <w:kern w:val="0"/>
                <w:sz w:val="21"/>
                <w:szCs w:val="21"/>
                <w:highlight w:val="none"/>
                <w:lang w:val="en-US" w:eastAsia="zh-CN" w:bidi="ar-SA"/>
              </w:rPr>
              <w:t>名称：</w:t>
            </w:r>
            <w:r>
              <w:rPr>
                <w:rStyle w:val="13"/>
                <w:rFonts w:hint="eastAsia" w:ascii="宋体" w:hAnsi="宋体" w:eastAsia="宋体" w:cs="宋体"/>
                <w:kern w:val="0"/>
                <w:sz w:val="21"/>
                <w:szCs w:val="21"/>
                <w:highlight w:val="none"/>
                <w:u w:val="single"/>
                <w:lang w:val="en-US" w:eastAsia="zh-CN" w:bidi="ar-SA"/>
              </w:rPr>
              <w:t>南华大学附属第二医院</w:t>
            </w:r>
          </w:p>
          <w:p w14:paraId="3970B96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地址：</w:t>
            </w:r>
            <w:r>
              <w:rPr>
                <w:rStyle w:val="13"/>
                <w:rFonts w:hint="eastAsia" w:ascii="宋体" w:hAnsi="宋体" w:eastAsia="宋体" w:cs="宋体"/>
                <w:kern w:val="0"/>
                <w:sz w:val="21"/>
                <w:szCs w:val="21"/>
                <w:highlight w:val="none"/>
                <w:u w:val="single"/>
                <w:lang w:val="en-US" w:eastAsia="zh-CN" w:bidi="ar-SA"/>
              </w:rPr>
              <w:t>湖南省衡阳市蒸湘区解放大道35号</w:t>
            </w:r>
          </w:p>
        </w:tc>
      </w:tr>
      <w:tr w14:paraId="493D1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261" w:type="pct"/>
            <w:noWrap w:val="0"/>
            <w:vAlign w:val="center"/>
          </w:tcPr>
          <w:p w14:paraId="3C97AAE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项目现场</w:t>
            </w:r>
          </w:p>
        </w:tc>
        <w:tc>
          <w:tcPr>
            <w:tcW w:w="3739" w:type="pct"/>
            <w:noWrap w:val="0"/>
            <w:vAlign w:val="center"/>
          </w:tcPr>
          <w:p w14:paraId="11ED67C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u w:val="single"/>
                <w:lang w:val="en-US" w:eastAsia="zh-CN" w:bidi="ar-SA"/>
              </w:rPr>
            </w:pPr>
            <w:r>
              <w:rPr>
                <w:rStyle w:val="13"/>
                <w:rFonts w:hint="eastAsia" w:ascii="宋体" w:hAnsi="宋体" w:eastAsia="宋体" w:cs="宋体"/>
                <w:kern w:val="0"/>
                <w:sz w:val="21"/>
                <w:szCs w:val="21"/>
                <w:highlight w:val="none"/>
                <w:u w:val="single"/>
                <w:lang w:val="en-US" w:eastAsia="zh-CN" w:bidi="ar-SA"/>
              </w:rPr>
              <w:t>南华大学附属第二医院</w:t>
            </w:r>
          </w:p>
        </w:tc>
      </w:tr>
      <w:tr w14:paraId="5FADB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1261" w:type="pct"/>
            <w:noWrap w:val="0"/>
            <w:vAlign w:val="center"/>
          </w:tcPr>
          <w:p w14:paraId="21299C26">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履行合同的时间、地点及方式</w:t>
            </w:r>
          </w:p>
        </w:tc>
        <w:tc>
          <w:tcPr>
            <w:tcW w:w="3739" w:type="pct"/>
            <w:noWrap w:val="0"/>
            <w:vAlign w:val="center"/>
          </w:tcPr>
          <w:p w14:paraId="5BA267D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以第五章采购内容与要求及采购人书面要求为准。</w:t>
            </w:r>
          </w:p>
        </w:tc>
      </w:tr>
      <w:tr w14:paraId="0894E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261" w:type="pct"/>
            <w:noWrap w:val="0"/>
            <w:vAlign w:val="center"/>
          </w:tcPr>
          <w:p w14:paraId="41BC31F3">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Fonts w:hint="eastAsia" w:ascii="宋体" w:hAnsi="宋体" w:eastAsia="宋体" w:cs="宋体"/>
                <w:szCs w:val="21"/>
                <w:highlight w:val="none"/>
              </w:rPr>
              <w:t>维保期限</w:t>
            </w:r>
          </w:p>
        </w:tc>
        <w:tc>
          <w:tcPr>
            <w:tcW w:w="3739" w:type="pct"/>
            <w:noWrap w:val="0"/>
            <w:vAlign w:val="center"/>
          </w:tcPr>
          <w:p w14:paraId="28D4887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u w:val="single"/>
                <w:lang w:val="en-US" w:eastAsia="zh-CN" w:bidi="ar-SA"/>
              </w:rPr>
            </w:pPr>
            <w:r>
              <w:rPr>
                <w:rStyle w:val="13"/>
                <w:rFonts w:hint="eastAsia" w:ascii="宋体" w:hAnsi="宋体" w:eastAsia="宋体" w:cs="宋体"/>
                <w:strike w:val="0"/>
                <w:dstrike w:val="0"/>
                <w:spacing w:val="30"/>
                <w:kern w:val="0"/>
                <w:sz w:val="21"/>
                <w:szCs w:val="21"/>
                <w:highlight w:val="none"/>
                <w:lang w:val="en-US" w:eastAsia="zh-CN" w:bidi="ar-SA"/>
              </w:rPr>
              <w:t>三年</w:t>
            </w:r>
          </w:p>
        </w:tc>
      </w:tr>
      <w:tr w14:paraId="6146A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1261" w:type="pct"/>
            <w:noWrap w:val="0"/>
            <w:vAlign w:val="center"/>
          </w:tcPr>
          <w:p w14:paraId="1822472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响应时间</w:t>
            </w:r>
          </w:p>
        </w:tc>
        <w:tc>
          <w:tcPr>
            <w:tcW w:w="3739" w:type="pct"/>
            <w:noWrap w:val="0"/>
            <w:vAlign w:val="center"/>
          </w:tcPr>
          <w:p w14:paraId="6C3650F2">
            <w:pPr>
              <w:shd w:val="clear" w:color="auto" w:fill="FFFFFF"/>
              <w:spacing w:line="360" w:lineRule="auto"/>
              <w:ind w:firstLine="270" w:firstLineChars="100"/>
              <w:rPr>
                <w:rStyle w:val="13"/>
                <w:rFonts w:hint="default" w:ascii="宋体" w:hAnsi="宋体" w:eastAsia="宋体" w:cs="宋体"/>
                <w:spacing w:val="30"/>
                <w:kern w:val="0"/>
                <w:sz w:val="21"/>
                <w:szCs w:val="21"/>
                <w:highlight w:val="none"/>
                <w:u w:val="single"/>
                <w:lang w:val="en-US" w:eastAsia="zh-CN" w:bidi="ar-SA"/>
              </w:rPr>
            </w:pPr>
            <w:r>
              <w:rPr>
                <w:rStyle w:val="13"/>
                <w:rFonts w:hint="eastAsia" w:ascii="宋体" w:hAnsi="宋体" w:eastAsia="宋体" w:cs="宋体"/>
                <w:strike w:val="0"/>
                <w:dstrike w:val="0"/>
                <w:spacing w:val="30"/>
                <w:kern w:val="0"/>
                <w:sz w:val="21"/>
                <w:szCs w:val="21"/>
                <w:highlight w:val="none"/>
                <w:lang w:val="en-US" w:eastAsia="zh-CN" w:bidi="ar-SA"/>
              </w:rPr>
              <w:t>全年24小时×365天专人接听，</w:t>
            </w:r>
            <w:r>
              <w:rPr>
                <w:rFonts w:hint="eastAsia" w:ascii="宋体" w:hAnsi="宋体" w:eastAsia="宋体" w:cs="宋体"/>
                <w:szCs w:val="21"/>
                <w:highlight w:val="none"/>
              </w:rPr>
              <w:t>接到故障报修电话后不超过</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小时内响应,并及时提供相关的维修解决方案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不超过24小时赶到现场，48小时解决故障问题。因故障</w:t>
            </w:r>
            <w:r>
              <w:rPr>
                <w:rStyle w:val="13"/>
                <w:rFonts w:hint="eastAsia" w:ascii="宋体" w:hAnsi="宋体" w:eastAsia="宋体" w:cs="宋体"/>
                <w:spacing w:val="30"/>
                <w:kern w:val="0"/>
                <w:sz w:val="21"/>
                <w:szCs w:val="21"/>
                <w:highlight w:val="none"/>
                <w:lang w:val="en-US" w:eastAsia="zh-CN" w:bidi="ar-SA"/>
              </w:rPr>
              <w:t>无法解决导致</w:t>
            </w:r>
            <w:r>
              <w:rPr>
                <w:rFonts w:hint="eastAsia" w:ascii="宋体" w:hAnsi="宋体" w:eastAsia="宋体" w:cs="宋体"/>
                <w:color w:val="000000"/>
                <w:szCs w:val="21"/>
                <w:highlight w:val="none"/>
              </w:rPr>
              <w:t>停机</w:t>
            </w:r>
            <w:r>
              <w:rPr>
                <w:rFonts w:hint="eastAsia" w:ascii="宋体" w:hAnsi="宋体" w:eastAsia="宋体" w:cs="宋体"/>
                <w:color w:val="000000"/>
                <w:szCs w:val="21"/>
                <w:highlight w:val="none"/>
                <w:lang w:eastAsia="zh-CN"/>
              </w:rPr>
              <w:t>，则停机</w:t>
            </w:r>
            <w:r>
              <w:rPr>
                <w:rFonts w:hint="eastAsia" w:ascii="宋体" w:hAnsi="宋体" w:eastAsia="宋体" w:cs="宋体"/>
                <w:color w:val="000000"/>
                <w:szCs w:val="21"/>
                <w:highlight w:val="none"/>
              </w:rPr>
              <w:t>天数按1:</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的比例延长保修时间</w:t>
            </w:r>
            <w:r>
              <w:rPr>
                <w:rFonts w:hint="eastAsia" w:ascii="宋体" w:hAnsi="宋体" w:eastAsia="宋体" w:cs="宋体"/>
                <w:color w:val="000000"/>
                <w:szCs w:val="21"/>
                <w:highlight w:val="none"/>
                <w:lang w:eastAsia="zh-CN"/>
              </w:rPr>
              <w:t>。</w:t>
            </w:r>
          </w:p>
        </w:tc>
      </w:tr>
      <w:tr w14:paraId="5F822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261" w:type="pct"/>
            <w:noWrap w:val="0"/>
            <w:vAlign w:val="center"/>
          </w:tcPr>
          <w:p w14:paraId="7CAD11E6">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合同价款支付方式</w:t>
            </w:r>
            <w:r>
              <w:rPr>
                <w:rStyle w:val="13"/>
                <w:rFonts w:hint="eastAsia" w:ascii="宋体" w:hAnsi="宋体" w:eastAsia="宋体" w:cs="宋体"/>
                <w:bCs/>
                <w:spacing w:val="30"/>
                <w:kern w:val="0"/>
                <w:sz w:val="21"/>
                <w:szCs w:val="21"/>
                <w:highlight w:val="none"/>
                <w:lang w:val="en-US" w:eastAsia="zh-CN" w:bidi="ar-SA"/>
              </w:rPr>
              <w:t>和条件</w:t>
            </w:r>
          </w:p>
        </w:tc>
        <w:tc>
          <w:tcPr>
            <w:tcW w:w="3739" w:type="pct"/>
            <w:noWrap w:val="0"/>
            <w:vAlign w:val="center"/>
          </w:tcPr>
          <w:p w14:paraId="11543343">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付款人：南华大学附属第二医院</w:t>
            </w:r>
          </w:p>
          <w:p w14:paraId="225B570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Style w:val="13"/>
                <w:rFonts w:hint="eastAsia" w:ascii="宋体" w:hAnsi="宋体" w:eastAsia="宋体" w:cs="宋体"/>
                <w:kern w:val="2"/>
                <w:sz w:val="21"/>
                <w:szCs w:val="22"/>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付款方式：</w:t>
            </w:r>
            <w:r>
              <w:rPr>
                <w:rFonts w:hint="eastAsia" w:ascii="宋体" w:hAnsi="宋体" w:eastAsia="宋体" w:cs="宋体"/>
                <w:sz w:val="21"/>
                <w:szCs w:val="21"/>
                <w:highlight w:val="none"/>
              </w:rPr>
              <w:t>严格按照招标人财务制度要求付款，每一维保年度的第六个月支付本年度维保费的50%，余款50%在本维保年度到期后支付。付款前中标供应商应按照招标人的要求提供相应的税务发票并自行承担相应的税费，如因中标供应商延迟开具发票，招标人有权延迟付款。</w:t>
            </w:r>
          </w:p>
        </w:tc>
      </w:tr>
      <w:tr w14:paraId="6ADD1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9" w:hRule="atLeast"/>
        </w:trPr>
        <w:tc>
          <w:tcPr>
            <w:tcW w:w="1261" w:type="pct"/>
            <w:noWrap w:val="0"/>
            <w:vAlign w:val="center"/>
          </w:tcPr>
          <w:p w14:paraId="3B5A82C1">
            <w:pPr>
              <w:keepNext w:val="0"/>
              <w:keepLines w:val="0"/>
              <w:pageBreakBefore w:val="0"/>
              <w:widowControl/>
              <w:kinsoku/>
              <w:wordWrap/>
              <w:overflowPunct/>
              <w:topLinePunct w:val="0"/>
              <w:autoSpaceDE/>
              <w:autoSpaceDN/>
              <w:bidi w:val="0"/>
              <w:adjustRightInd/>
              <w:snapToGrid/>
              <w:spacing w:before="240" w:after="240" w:line="240" w:lineRule="auto"/>
              <w:jc w:val="center"/>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其他要求</w:t>
            </w:r>
          </w:p>
        </w:tc>
        <w:tc>
          <w:tcPr>
            <w:tcW w:w="3739" w:type="pct"/>
            <w:noWrap w:val="0"/>
            <w:vAlign w:val="center"/>
          </w:tcPr>
          <w:p w14:paraId="2E9E6754">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1、中标单位不得转包或委托其它非中标方服务。</w:t>
            </w:r>
          </w:p>
          <w:p w14:paraId="060F14DE">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2、本项目采用费用包干方式，投标人应根据项目要求和现场情况，详细列明项目所需产品运输保险保管、项目安装调试、试运行测试通过验收、培训、保险费（包含意外险）、节假日加班费，质保期免费保修维护等所有人工、管理、财务、税费等所有费用，如一旦中标，在项目实施中出现任何遗漏，均由中标人免费提供，采购人不再支付任何费用。</w:t>
            </w:r>
          </w:p>
        </w:tc>
      </w:tr>
      <w:tr w14:paraId="55C18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61" w:type="pct"/>
            <w:noWrap w:val="0"/>
            <w:vAlign w:val="center"/>
          </w:tcPr>
          <w:p w14:paraId="10EFBE9A">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bCs/>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解决争议的方式</w:t>
            </w:r>
          </w:p>
        </w:tc>
        <w:tc>
          <w:tcPr>
            <w:tcW w:w="3739" w:type="pct"/>
            <w:noWrap w:val="0"/>
            <w:vAlign w:val="center"/>
          </w:tcPr>
          <w:p w14:paraId="2498462D">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 诉讼</w:t>
            </w:r>
          </w:p>
          <w:p w14:paraId="7763366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spacing w:val="30"/>
                <w:kern w:val="0"/>
                <w:sz w:val="21"/>
                <w:szCs w:val="21"/>
                <w:highlight w:val="none"/>
                <w:lang w:val="en-US" w:eastAsia="zh-CN" w:bidi="ar-SA"/>
              </w:rPr>
              <w:t>□ 仲裁</w:t>
            </w:r>
          </w:p>
        </w:tc>
      </w:tr>
      <w:tr w14:paraId="47D67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61" w:type="pct"/>
            <w:noWrap w:val="0"/>
            <w:vAlign w:val="center"/>
          </w:tcPr>
          <w:p w14:paraId="0DCD193F">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lang w:val="en-US" w:eastAsia="zh-CN" w:bidi="ar-SA"/>
              </w:rPr>
            </w:pPr>
            <w:r>
              <w:rPr>
                <w:rStyle w:val="13"/>
                <w:rFonts w:hint="eastAsia" w:ascii="宋体" w:hAnsi="宋体" w:eastAsia="宋体" w:cs="宋体"/>
                <w:bCs/>
                <w:spacing w:val="30"/>
                <w:kern w:val="0"/>
                <w:sz w:val="21"/>
                <w:szCs w:val="21"/>
                <w:highlight w:val="none"/>
                <w:lang w:val="en-US" w:eastAsia="zh-CN" w:bidi="ar-SA"/>
              </w:rPr>
              <w:t>合同未尽事项</w:t>
            </w:r>
          </w:p>
        </w:tc>
        <w:tc>
          <w:tcPr>
            <w:tcW w:w="3739" w:type="pct"/>
            <w:noWrap w:val="0"/>
            <w:vAlign w:val="center"/>
          </w:tcPr>
          <w:p w14:paraId="7A037E78">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Style w:val="13"/>
                <w:rFonts w:hint="eastAsia" w:ascii="宋体" w:hAnsi="宋体" w:eastAsia="宋体" w:cs="宋体"/>
                <w:spacing w:val="30"/>
                <w:kern w:val="0"/>
                <w:sz w:val="21"/>
                <w:szCs w:val="21"/>
                <w:highlight w:val="none"/>
                <w:u w:val="single"/>
                <w:lang w:val="en-US" w:eastAsia="zh-CN" w:bidi="ar-SA"/>
              </w:rPr>
            </w:pPr>
            <w:r>
              <w:rPr>
                <w:rStyle w:val="13"/>
                <w:rFonts w:hint="eastAsia" w:ascii="宋体" w:hAnsi="宋体" w:eastAsia="宋体" w:cs="宋体"/>
                <w:spacing w:val="30"/>
                <w:kern w:val="0"/>
                <w:sz w:val="21"/>
                <w:szCs w:val="21"/>
                <w:highlight w:val="none"/>
                <w:lang w:val="en-US" w:eastAsia="zh-CN" w:bidi="ar-SA"/>
              </w:rPr>
              <w:t>双方另行约定</w:t>
            </w:r>
          </w:p>
        </w:tc>
      </w:tr>
    </w:tbl>
    <w:p w14:paraId="38F611FB">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E0A90"/>
    <w:rsid w:val="03642BD2"/>
    <w:rsid w:val="037759DB"/>
    <w:rsid w:val="039943F6"/>
    <w:rsid w:val="052B0249"/>
    <w:rsid w:val="0614569C"/>
    <w:rsid w:val="08633200"/>
    <w:rsid w:val="088F4710"/>
    <w:rsid w:val="0AE55FEA"/>
    <w:rsid w:val="0B5346A2"/>
    <w:rsid w:val="0C6805B7"/>
    <w:rsid w:val="0D876DD7"/>
    <w:rsid w:val="0E0A3916"/>
    <w:rsid w:val="0E67119C"/>
    <w:rsid w:val="10E20B40"/>
    <w:rsid w:val="123A567C"/>
    <w:rsid w:val="15DF07AD"/>
    <w:rsid w:val="16DA5F29"/>
    <w:rsid w:val="17E84D22"/>
    <w:rsid w:val="19D87FCA"/>
    <w:rsid w:val="1B415BC7"/>
    <w:rsid w:val="1B983048"/>
    <w:rsid w:val="1D1A6855"/>
    <w:rsid w:val="21674E89"/>
    <w:rsid w:val="224A2F35"/>
    <w:rsid w:val="22B91B86"/>
    <w:rsid w:val="232574FE"/>
    <w:rsid w:val="24D864C2"/>
    <w:rsid w:val="2590132F"/>
    <w:rsid w:val="29D60A38"/>
    <w:rsid w:val="29F173EA"/>
    <w:rsid w:val="2CD5476F"/>
    <w:rsid w:val="2CE87EF6"/>
    <w:rsid w:val="2F3727DF"/>
    <w:rsid w:val="30D653AF"/>
    <w:rsid w:val="33A724DB"/>
    <w:rsid w:val="36136B2C"/>
    <w:rsid w:val="36A20DEB"/>
    <w:rsid w:val="36AA0CBD"/>
    <w:rsid w:val="386F2EBD"/>
    <w:rsid w:val="39D715D5"/>
    <w:rsid w:val="3A2F2590"/>
    <w:rsid w:val="3AC9498B"/>
    <w:rsid w:val="3AD96499"/>
    <w:rsid w:val="3CFC4352"/>
    <w:rsid w:val="40031490"/>
    <w:rsid w:val="4015055C"/>
    <w:rsid w:val="404D5D77"/>
    <w:rsid w:val="41404B99"/>
    <w:rsid w:val="44073470"/>
    <w:rsid w:val="49DE0A90"/>
    <w:rsid w:val="4AC01101"/>
    <w:rsid w:val="4C070814"/>
    <w:rsid w:val="4C89761F"/>
    <w:rsid w:val="4DB44E0A"/>
    <w:rsid w:val="4E816FAE"/>
    <w:rsid w:val="4EAA119F"/>
    <w:rsid w:val="51FA0C8B"/>
    <w:rsid w:val="53050E32"/>
    <w:rsid w:val="53570112"/>
    <w:rsid w:val="54D4650B"/>
    <w:rsid w:val="56324462"/>
    <w:rsid w:val="56834FD4"/>
    <w:rsid w:val="582629E2"/>
    <w:rsid w:val="58680CEE"/>
    <w:rsid w:val="586D492B"/>
    <w:rsid w:val="586E2C90"/>
    <w:rsid w:val="58F82D0B"/>
    <w:rsid w:val="59BC0520"/>
    <w:rsid w:val="5AC72CAD"/>
    <w:rsid w:val="60BA173E"/>
    <w:rsid w:val="60F36BD1"/>
    <w:rsid w:val="61AE7A4D"/>
    <w:rsid w:val="62BE57EC"/>
    <w:rsid w:val="67EF7AB2"/>
    <w:rsid w:val="68D9718F"/>
    <w:rsid w:val="698C24B6"/>
    <w:rsid w:val="6AAF3D27"/>
    <w:rsid w:val="6D3B3907"/>
    <w:rsid w:val="6E020EB4"/>
    <w:rsid w:val="72100F31"/>
    <w:rsid w:val="72750CA3"/>
    <w:rsid w:val="729C06B0"/>
    <w:rsid w:val="72EA3C3A"/>
    <w:rsid w:val="75113A9C"/>
    <w:rsid w:val="75EB5347"/>
    <w:rsid w:val="77FD3803"/>
    <w:rsid w:val="78B33C13"/>
    <w:rsid w:val="7B78624B"/>
    <w:rsid w:val="7D257DF4"/>
    <w:rsid w:val="7D3E5C13"/>
    <w:rsid w:val="7D8B4674"/>
    <w:rsid w:val="7E27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autoRedefine/>
    <w:qFormat/>
    <w:uiPriority w:val="0"/>
    <w:pPr>
      <w:keepNext/>
      <w:keepLines/>
      <w:spacing w:before="100" w:beforeLines="100" w:after="100" w:afterLines="100" w:line="560" w:lineRule="exact"/>
      <w:ind w:firstLine="0" w:firstLineChars="0"/>
      <w:jc w:val="center"/>
      <w:outlineLvl w:val="0"/>
    </w:pPr>
    <w:rPr>
      <w:rFonts w:eastAsia="黑体"/>
      <w:b/>
      <w:bCs/>
      <w:kern w:val="44"/>
      <w:sz w:val="32"/>
      <w:szCs w:val="44"/>
    </w:rPr>
  </w:style>
  <w:style w:type="paragraph" w:styleId="3">
    <w:name w:val="heading 2"/>
    <w:basedOn w:val="1"/>
    <w:next w:val="1"/>
    <w:link w:val="15"/>
    <w:autoRedefine/>
    <w:semiHidden/>
    <w:unhideWhenUsed/>
    <w:qFormat/>
    <w:uiPriority w:val="0"/>
    <w:pPr>
      <w:keepNext/>
      <w:keepLines/>
      <w:spacing w:line="560" w:lineRule="exact"/>
      <w:outlineLvl w:val="1"/>
    </w:pPr>
    <w:rPr>
      <w:rFonts w:ascii="Cambria" w:hAnsi="Cambria" w:eastAsia="黑体" w:cs="Times New Roman"/>
      <w:b/>
      <w:bCs/>
      <w:sz w:val="30"/>
      <w:szCs w:val="32"/>
    </w:rPr>
  </w:style>
  <w:style w:type="paragraph" w:styleId="4">
    <w:name w:val="heading 3"/>
    <w:basedOn w:val="1"/>
    <w:next w:val="1"/>
    <w:link w:val="16"/>
    <w:autoRedefine/>
    <w:semiHidden/>
    <w:unhideWhenUsed/>
    <w:qFormat/>
    <w:uiPriority w:val="0"/>
    <w:pPr>
      <w:keepNext/>
      <w:keepLines/>
      <w:spacing w:line="560" w:lineRule="exact"/>
      <w:outlineLvl w:val="2"/>
    </w:pPr>
    <w:rPr>
      <w:rFonts w:ascii="Times New Roman" w:hAnsi="Times New Roman" w:eastAsia="黑体"/>
      <w:b/>
      <w:bCs/>
      <w:sz w:val="24"/>
      <w:szCs w:val="32"/>
    </w:rPr>
  </w:style>
  <w:style w:type="paragraph" w:styleId="5">
    <w:name w:val="heading 4"/>
    <w:basedOn w:val="1"/>
    <w:next w:val="1"/>
    <w:link w:val="17"/>
    <w:autoRedefine/>
    <w:semiHidden/>
    <w:unhideWhenUsed/>
    <w:qFormat/>
    <w:uiPriority w:val="0"/>
    <w:pPr>
      <w:keepNext/>
      <w:keepLines/>
      <w:widowControl w:val="0"/>
      <w:adjustRightInd/>
      <w:snapToGrid/>
      <w:ind w:firstLine="883" w:firstLineChars="200"/>
      <w:jc w:val="both"/>
      <w:outlineLvl w:val="3"/>
    </w:pPr>
    <w:rPr>
      <w:rFonts w:ascii="Arial" w:hAnsi="Arial" w:eastAsia="宋体" w:cs="Times New Roman"/>
      <w:b/>
    </w:rPr>
  </w:style>
  <w:style w:type="paragraph" w:styleId="6">
    <w:name w:val="heading 5"/>
    <w:basedOn w:val="1"/>
    <w:next w:val="1"/>
    <w:semiHidden/>
    <w:unhideWhenUsed/>
    <w:qFormat/>
    <w:uiPriority w:val="0"/>
    <w:pPr>
      <w:keepNext/>
      <w:keepLines/>
      <w:spacing w:beforeLines="0" w:beforeAutospacing="0" w:afterLines="0" w:afterAutospacing="0" w:line="560" w:lineRule="exact"/>
      <w:outlineLvl w:val="4"/>
    </w:pPr>
    <w:rPr>
      <w:rFonts w:ascii="Times New Roman" w:hAnsi="Times New Roman" w:eastAsia="黑体" w:cs="Times New Roman"/>
      <w:b/>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7">
    <w:name w:val="Body Text"/>
    <w:basedOn w:val="1"/>
    <w:autoRedefine/>
    <w:qFormat/>
    <w:uiPriority w:val="0"/>
  </w:style>
  <w:style w:type="paragraph" w:styleId="8">
    <w:name w:val="Body Text Indent"/>
    <w:basedOn w:val="1"/>
    <w:autoRedefine/>
    <w:qFormat/>
    <w:uiPriority w:val="0"/>
    <w:pPr>
      <w:spacing w:after="120" w:afterLines="0" w:afterAutospacing="0"/>
      <w:ind w:left="420" w:leftChars="200"/>
    </w:pPr>
  </w:style>
  <w:style w:type="paragraph" w:styleId="9">
    <w:name w:val="toc 3"/>
    <w:basedOn w:val="1"/>
    <w:next w:val="1"/>
    <w:autoRedefine/>
    <w:qFormat/>
    <w:uiPriority w:val="0"/>
    <w:pPr>
      <w:ind w:left="840" w:leftChars="400"/>
    </w:pPr>
  </w:style>
  <w:style w:type="paragraph" w:styleId="10">
    <w:name w:val="toc 1"/>
    <w:basedOn w:val="1"/>
    <w:next w:val="1"/>
    <w:qFormat/>
    <w:uiPriority w:val="0"/>
  </w:style>
  <w:style w:type="paragraph" w:styleId="11">
    <w:name w:val="Body Text First Indent 2"/>
    <w:basedOn w:val="8"/>
    <w:autoRedefine/>
    <w:qFormat/>
    <w:uiPriority w:val="0"/>
    <w:pPr>
      <w:ind w:firstLine="420" w:firstLineChars="200"/>
    </w:pPr>
  </w:style>
  <w:style w:type="character" w:customStyle="1" w:styleId="14">
    <w:name w:val="标题 1 Char"/>
    <w:link w:val="2"/>
    <w:autoRedefine/>
    <w:qFormat/>
    <w:uiPriority w:val="0"/>
    <w:rPr>
      <w:rFonts w:ascii="Times New Roman" w:hAnsi="Times New Roman" w:eastAsia="黑体" w:cs="Times New Roman"/>
      <w:b/>
      <w:bCs/>
      <w:kern w:val="44"/>
      <w:sz w:val="32"/>
      <w:szCs w:val="44"/>
    </w:rPr>
  </w:style>
  <w:style w:type="character" w:customStyle="1" w:styleId="15">
    <w:name w:val="标题 2 Char"/>
    <w:link w:val="3"/>
    <w:autoRedefine/>
    <w:qFormat/>
    <w:uiPriority w:val="0"/>
    <w:rPr>
      <w:rFonts w:ascii="Cambria" w:hAnsi="Cambria" w:eastAsia="黑体" w:cs="Times New Roman"/>
      <w:b/>
      <w:bCs/>
      <w:sz w:val="30"/>
      <w:szCs w:val="32"/>
    </w:rPr>
  </w:style>
  <w:style w:type="character" w:customStyle="1" w:styleId="16">
    <w:name w:val="标题 3 Char"/>
    <w:link w:val="4"/>
    <w:autoRedefine/>
    <w:qFormat/>
    <w:uiPriority w:val="0"/>
    <w:rPr>
      <w:rFonts w:ascii="Times New Roman" w:hAnsi="Times New Roman" w:eastAsia="黑体" w:cs="Times New Roman"/>
      <w:b/>
      <w:bCs/>
      <w:sz w:val="24"/>
      <w:szCs w:val="32"/>
    </w:rPr>
  </w:style>
  <w:style w:type="character" w:customStyle="1" w:styleId="17">
    <w:name w:val="标题 4 Char"/>
    <w:link w:val="5"/>
    <w:qFormat/>
    <w:uiPriority w:val="0"/>
    <w:rPr>
      <w:rFonts w:ascii="Arial" w:hAnsi="Arial" w:eastAsia="宋体" w:cs="Times New Roman"/>
      <w:b/>
      <w:kern w:val="2"/>
      <w:szCs w:val="24"/>
    </w:rPr>
  </w:style>
  <w:style w:type="paragraph" w:customStyle="1" w:styleId="18">
    <w:name w:val="正文.表格"/>
    <w:next w:val="1"/>
    <w:qFormat/>
    <w:uiPriority w:val="0"/>
    <w:pPr>
      <w:widowControl/>
      <w:autoSpaceDE w:val="0"/>
      <w:autoSpaceDN w:val="0"/>
      <w:snapToGrid w:val="0"/>
      <w:spacing w:after="0" w:afterLines="0" w:line="240" w:lineRule="auto"/>
      <w:ind w:firstLine="0" w:firstLineChars="0"/>
      <w:jc w:val="center"/>
      <w:textAlignment w:val="center"/>
    </w:pPr>
    <w:rPr>
      <w:rFonts w:ascii="仿宋_GB2312" w:hAnsi="仿宋_GB2312" w:eastAsia="仿宋_GB2312" w:cs="仿宋_GB2312"/>
      <w:kern w:val="21"/>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2025-11-04T06:44:00Z</dcterms:created>
  <dc:creator>阳镇宇</dc:creator>
  <cp:lastModifiedBy>阳镇宇</cp:lastModifiedBy>
  <dcterms:modified xsi:type="dcterms:W3CDTF">2025-11-04T06:44:26Z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6EC40DB331274AB7834E4CA92A65E412_11</vt:lpwstr>
  </property>
  <property fmtid="{D5CDD505-2E9C-101B-9397-08002B2CF9AE}" pid="4" name="KSOTemplateDocerSaveRecord">
    <vt:lpwstr>eyJoZGlkIjoiNzVjMGM2ZGE1YWUzMDA0ZWVlNmI2NTUxMmIxYTk4MDYiLCJ1c2VySWQiOiIzNDQzMzUyMTkifQ==</vt:lpwstr>
  </property>
</Properties>
</file>