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7" w:type="dxa"/>
        <w:tblInd w:w="-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3"/>
        <w:gridCol w:w="1934"/>
        <w:gridCol w:w="1252"/>
        <w:gridCol w:w="664"/>
        <w:gridCol w:w="35"/>
        <w:gridCol w:w="1253"/>
        <w:gridCol w:w="737"/>
        <w:gridCol w:w="346"/>
        <w:gridCol w:w="254"/>
        <w:gridCol w:w="955"/>
        <w:gridCol w:w="518"/>
      </w:tblGrid>
      <w:tr w14:paraId="3FE6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1275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湖南省居民基本医疗保险门诊慢特病病种范围和医保支付标准</w:t>
            </w:r>
          </w:p>
        </w:tc>
      </w:tr>
      <w:tr w14:paraId="246C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门诊慢特病病种</w:t>
            </w:r>
          </w:p>
        </w:tc>
        <w:tc>
          <w:tcPr>
            <w:tcW w:w="5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医保支付标准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复审期限</w:t>
            </w:r>
          </w:p>
        </w:tc>
      </w:tr>
      <w:tr w14:paraId="7036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22C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4B5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医药费用限额(元/月)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医保报销比例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医保支付限额(元/月)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F92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5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恶性肿瘤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康复治疗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400(报销范围：限相关检查、治疗用药、肿瘤患者长期使用的造口袋和尿袋)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2年</w:t>
            </w:r>
          </w:p>
        </w:tc>
      </w:tr>
      <w:tr w14:paraId="1205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1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E4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门诊放化疗</w:t>
            </w:r>
          </w:p>
        </w:tc>
        <w:tc>
          <w:tcPr>
            <w:tcW w:w="4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依据《湖南省恶性肿瘤门诊放化疗医保支付管理暂行办法》执行</w:t>
            </w:r>
          </w:p>
        </w:tc>
      </w:tr>
      <w:tr w14:paraId="7B2A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3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高血压病3级(有心、脑、肾、眼并发症之一)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CC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1至2个并发症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F2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21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58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DE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3641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9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39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2个以上并发症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7BC1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2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糖尿病(合并心、肾、眼、足、神经病变之一)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1至2个并发症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0EC2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9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30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2个以上并发症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4972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冠心病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普通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75D1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1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3E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PCI术后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53BD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2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脑血管意外(包括脑出血、脑梗塞、蛛网膜下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腔出血)后遗症康复治疗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2年</w:t>
            </w:r>
          </w:p>
        </w:tc>
      </w:tr>
      <w:tr w14:paraId="2ACD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血友病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6C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非急性出血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D3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14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B7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0B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739E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C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B80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急性出血期</w:t>
            </w:r>
          </w:p>
        </w:tc>
        <w:tc>
          <w:tcPr>
            <w:tcW w:w="4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限医药机构现场注射治疗，参照住院起付线、报销比例、支付限额执行(报销范围：限相关治疗用药)</w:t>
            </w:r>
          </w:p>
        </w:tc>
      </w:tr>
      <w:tr w14:paraId="00C9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3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精神分裂症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0251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肺结核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普通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2年</w:t>
            </w:r>
          </w:p>
        </w:tc>
      </w:tr>
      <w:tr w14:paraId="2228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A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31F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耐多药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半年</w:t>
            </w:r>
          </w:p>
        </w:tc>
      </w:tr>
      <w:tr w14:paraId="29BB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系统性红斑狼疮(有心、肺、肾、脑及血液系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统并发症之一)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61AE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5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慢性再生障碍性贫血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2年</w:t>
            </w:r>
          </w:p>
        </w:tc>
      </w:tr>
      <w:tr w14:paraId="4454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7D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94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肝硬化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41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F0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83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7C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2年</w:t>
            </w:r>
          </w:p>
        </w:tc>
      </w:tr>
      <w:tr w14:paraId="0FDE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帕金森病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3年</w:t>
            </w:r>
          </w:p>
        </w:tc>
      </w:tr>
      <w:tr w14:paraId="2441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6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肺心病(出现右心衰者)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1DDC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风湿性心脏病(心功能Ⅲ级)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3CF2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哮喘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2C55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类风湿关节炎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0A9C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慢性乙型肝炎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1E8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A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原发免疫性血小板减少症(ITP)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7B1D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C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多发性硬化症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71EF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2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03F5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9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5D25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D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多发性骨髓瘤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6635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系统性硬化症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5925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15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82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视神经脊髓炎谱系疾病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E9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89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27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FA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06BC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25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垂体瘤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295E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克罗恩病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797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癫痫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5ACB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4BD8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中重度银屑病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28CC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7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肺动脉高压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3A00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31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F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输血依赖型</w:t>
            </w:r>
          </w:p>
        </w:tc>
        <w:tc>
          <w:tcPr>
            <w:tcW w:w="40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限医疗机构诊治，参照住院起付线、报销比例、支付限额执行(报销范围：限输血前化验、输血治疗、相关治疗用药)</w:t>
            </w:r>
          </w:p>
        </w:tc>
      </w:tr>
      <w:tr w14:paraId="2601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D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78C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非输血依赖型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6D78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1ABC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9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恶性肿瘤晚期恶病质(家庭病床)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630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19AB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植物状态(家庭病床)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2B35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晚期血吸虫病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1685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57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36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C2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肾病综合征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B6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9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D5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6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34AE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6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抑郁症(重度)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2年</w:t>
            </w:r>
          </w:p>
        </w:tc>
      </w:tr>
      <w:tr w14:paraId="43B9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38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60C2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F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前列腺增生症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4E5D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器官移植后抗排异治疗</w:t>
            </w:r>
          </w:p>
        </w:tc>
        <w:tc>
          <w:tcPr>
            <w:tcW w:w="19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异基因造血干细胞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移植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51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半年内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0B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5000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35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BD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3500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61FE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3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E3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AF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6月-1年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1400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BE2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E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0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2AC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DC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1年-5年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350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E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A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9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8E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9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肝、肾、肺、心脏、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心肺联合移植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81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2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4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子宫内膜异位症(术后6个月内)</w:t>
            </w:r>
          </w:p>
        </w:tc>
        <w:tc>
          <w:tcPr>
            <w:tcW w:w="6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单列支付</w:t>
            </w:r>
          </w:p>
        </w:tc>
      </w:tr>
      <w:tr w14:paraId="727B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F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艾滋病</w:t>
            </w:r>
          </w:p>
        </w:tc>
        <w:tc>
          <w:tcPr>
            <w:tcW w:w="6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单列支付</w:t>
            </w:r>
          </w:p>
        </w:tc>
      </w:tr>
      <w:tr w14:paraId="6CE6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4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慢性肾功能衰竭(门诊透析治疗)</w:t>
            </w:r>
          </w:p>
        </w:tc>
        <w:tc>
          <w:tcPr>
            <w:tcW w:w="6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单独制定政策</w:t>
            </w:r>
          </w:p>
        </w:tc>
      </w:tr>
      <w:tr w14:paraId="1D1C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儿童脑性瘫痪(0-7岁)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1000(含康复治疗费用)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3ABF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小胖威利症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4765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46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苯丙酮尿症(PKU限0~14岁)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1岁以内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1250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875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1年</w:t>
            </w:r>
          </w:p>
        </w:tc>
      </w:tr>
      <w:tr w14:paraId="4A7C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8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988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DB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1岁以上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F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10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8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F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18C5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47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尘肺病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尘肺壹期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3年</w:t>
            </w:r>
          </w:p>
        </w:tc>
      </w:tr>
      <w:tr w14:paraId="46FA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D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BBA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尘肺贰期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210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7C8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0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B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D4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F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尘肺叁期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20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DE9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70%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4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245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77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184B3E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GY3Nzk2MmYwMjg4OTY3NTZhOGVhM2Y1NmYwOGUifQ=="/>
  </w:docVars>
  <w:rsids>
    <w:rsidRoot w:val="00000000"/>
    <w:rsid w:val="13963C5C"/>
    <w:rsid w:val="16A348E0"/>
    <w:rsid w:val="1D3D339A"/>
    <w:rsid w:val="278E4F1E"/>
    <w:rsid w:val="28BA1D43"/>
    <w:rsid w:val="377527C0"/>
    <w:rsid w:val="55C07063"/>
    <w:rsid w:val="637312D3"/>
    <w:rsid w:val="6CA9147F"/>
    <w:rsid w:val="70231548"/>
    <w:rsid w:val="7661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6">
    <w:name w:val="font41"/>
    <w:basedOn w:val="3"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1464</Characters>
  <Lines>0</Lines>
  <Paragraphs>0</Paragraphs>
  <TotalTime>9</TotalTime>
  <ScaleCrop>false</ScaleCrop>
  <LinksUpToDate>false</LinksUpToDate>
  <CharactersWithSpaces>1466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2024-07-15T03:50:00Z</dcterms:created>
  <dc:creator>AOC</dc:creator>
  <cp:lastModifiedBy>十六</cp:lastModifiedBy>
  <dcterms:modified xsi:type="dcterms:W3CDTF">2024-10-12T09:17:58Z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D410B06D90CA456DA8F55F621209F411_13</vt:lpwstr>
  </property>
</Properties>
</file>